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3410E1" w14:textId="63E1E2FD" w:rsidR="00502C86" w:rsidRPr="00F16643" w:rsidRDefault="00241768" w:rsidP="00241768">
      <w:pPr>
        <w:spacing w:after="240" w:line="240" w:lineRule="auto"/>
        <w:jc w:val="center"/>
        <w:rPr>
          <w:rFonts w:ascii="Calibri" w:hAnsi="Calibri" w:cs="Calibri"/>
          <w:b/>
          <w:bCs/>
          <w:sz w:val="56"/>
          <w:szCs w:val="56"/>
        </w:rPr>
      </w:pPr>
      <w:r w:rsidRPr="00F16643">
        <w:rPr>
          <w:rFonts w:ascii="Calibri" w:hAnsi="Calibri" w:cs="Calibri"/>
          <w:b/>
          <w:bCs/>
          <w:sz w:val="56"/>
          <w:szCs w:val="56"/>
        </w:rPr>
        <w:t>Security and Resilience in Data Systems: A Resilience-by-Design Paradigm for Africa’s Digital Economy</w:t>
      </w:r>
    </w:p>
    <w:p w14:paraId="579DB3EF" w14:textId="77777777" w:rsidR="00241768" w:rsidRPr="004C1335" w:rsidRDefault="00241768" w:rsidP="00241768">
      <w:pPr>
        <w:spacing w:after="240" w:line="240" w:lineRule="auto"/>
        <w:jc w:val="both"/>
        <w:rPr>
          <w:rFonts w:ascii="Calibri" w:hAnsi="Calibri" w:cs="Calibri"/>
        </w:rPr>
      </w:pPr>
    </w:p>
    <w:p w14:paraId="36207E02" w14:textId="77777777" w:rsidR="00241768" w:rsidRPr="004C1335" w:rsidRDefault="00241768" w:rsidP="00241768">
      <w:pPr>
        <w:spacing w:after="240" w:line="240" w:lineRule="auto"/>
        <w:jc w:val="center"/>
        <w:rPr>
          <w:rFonts w:ascii="Calibri" w:hAnsi="Calibri" w:cs="Calibri"/>
        </w:rPr>
      </w:pPr>
      <w:r w:rsidRPr="004C1335">
        <w:rPr>
          <w:rFonts w:ascii="Calibri" w:hAnsi="Calibri" w:cs="Calibri"/>
        </w:rPr>
        <w:t xml:space="preserve">Author: </w:t>
      </w:r>
      <w:r w:rsidRPr="004C1335">
        <w:rPr>
          <w:rFonts w:ascii="Calibri" w:hAnsi="Calibri" w:cs="Calibri"/>
          <w:b/>
          <w:bCs/>
        </w:rPr>
        <w:t>Shedrack Mwiine</w:t>
      </w:r>
    </w:p>
    <w:p w14:paraId="1E5B0F46" w14:textId="77B000ED" w:rsidR="00241768" w:rsidRPr="004C1335" w:rsidRDefault="00241768" w:rsidP="00241768">
      <w:pPr>
        <w:spacing w:after="240" w:line="240" w:lineRule="auto"/>
        <w:jc w:val="center"/>
        <w:rPr>
          <w:rFonts w:ascii="Calibri" w:hAnsi="Calibri" w:cs="Calibri"/>
        </w:rPr>
      </w:pPr>
      <w:r w:rsidRPr="004C1335">
        <w:rPr>
          <w:rFonts w:ascii="Calibri" w:hAnsi="Calibri" w:cs="Calibri"/>
        </w:rPr>
        <w:t xml:space="preserve">Affiliation: </w:t>
      </w:r>
      <w:r w:rsidRPr="004C1335">
        <w:rPr>
          <w:rFonts w:ascii="Calibri" w:hAnsi="Calibri" w:cs="Calibri"/>
          <w:b/>
          <w:bCs/>
        </w:rPr>
        <w:t>Strathmore University, Nairobi, Kenya</w:t>
      </w:r>
    </w:p>
    <w:p w14:paraId="240BAFEE" w14:textId="7C088C36" w:rsidR="00241768" w:rsidRPr="004C1335" w:rsidRDefault="00241768" w:rsidP="00241768">
      <w:pPr>
        <w:spacing w:after="240" w:line="240" w:lineRule="auto"/>
        <w:jc w:val="center"/>
        <w:rPr>
          <w:rFonts w:ascii="Calibri" w:hAnsi="Calibri" w:cs="Calibri"/>
        </w:rPr>
      </w:pPr>
      <w:r w:rsidRPr="004C1335">
        <w:rPr>
          <w:rFonts w:ascii="Calibri" w:hAnsi="Calibri" w:cs="Calibri"/>
        </w:rPr>
        <w:t xml:space="preserve">Role: </w:t>
      </w:r>
      <w:r w:rsidRPr="004C1335">
        <w:rPr>
          <w:rFonts w:ascii="Calibri" w:hAnsi="Calibri" w:cs="Calibri"/>
          <w:b/>
          <w:bCs/>
        </w:rPr>
        <w:t>Alumni from the Strathmore Institute of Mathematical Sciences (SIMS)</w:t>
      </w:r>
      <w:r w:rsidR="007C33E2">
        <w:rPr>
          <w:rFonts w:ascii="Calibri" w:hAnsi="Calibri" w:cs="Calibri"/>
          <w:b/>
          <w:bCs/>
        </w:rPr>
        <w:t xml:space="preserve">, Currently working as a Business Analyst at </w:t>
      </w:r>
      <w:r w:rsidR="00C80606">
        <w:rPr>
          <w:rFonts w:ascii="Calibri" w:hAnsi="Calibri" w:cs="Calibri"/>
          <w:b/>
          <w:bCs/>
        </w:rPr>
        <w:t>IDH</w:t>
      </w:r>
    </w:p>
    <w:p w14:paraId="2A937A78" w14:textId="11B5A3B6" w:rsidR="00241768" w:rsidRDefault="00241768" w:rsidP="00241768">
      <w:pPr>
        <w:spacing w:after="240" w:line="240" w:lineRule="auto"/>
        <w:jc w:val="center"/>
        <w:rPr>
          <w:rFonts w:ascii="Calibri" w:hAnsi="Calibri" w:cs="Calibri"/>
          <w:b/>
          <w:bCs/>
        </w:rPr>
      </w:pPr>
      <w:r w:rsidRPr="004C1335">
        <w:rPr>
          <w:rFonts w:ascii="Calibri" w:hAnsi="Calibri" w:cs="Calibri"/>
        </w:rPr>
        <w:t xml:space="preserve">Email: </w:t>
      </w:r>
      <w:hyperlink r:id="rId8" w:history="1">
        <w:r w:rsidR="008A64DF" w:rsidRPr="005944BD">
          <w:rPr>
            <w:rStyle w:val="Hyperlink"/>
            <w:rFonts w:ascii="Calibri" w:hAnsi="Calibri" w:cs="Calibri"/>
            <w:b/>
            <w:bCs/>
          </w:rPr>
          <w:t>shedrack.mwiine@strathmore.edu</w:t>
        </w:r>
      </w:hyperlink>
    </w:p>
    <w:p w14:paraId="69E88E0E" w14:textId="136D3C48" w:rsidR="008A64DF" w:rsidRPr="00CB118C" w:rsidRDefault="008A64DF" w:rsidP="00241768">
      <w:pPr>
        <w:spacing w:after="240" w:line="240" w:lineRule="auto"/>
        <w:jc w:val="center"/>
        <w:rPr>
          <w:rFonts w:ascii="Calibri" w:hAnsi="Calibri" w:cs="Calibri"/>
          <w:b/>
          <w:bCs/>
        </w:rPr>
      </w:pPr>
      <w:r w:rsidRPr="008A64DF">
        <w:rPr>
          <w:rFonts w:ascii="Calibri" w:hAnsi="Calibri" w:cs="Calibri"/>
        </w:rPr>
        <w:t xml:space="preserve">ORCID </w:t>
      </w:r>
      <w:proofErr w:type="spellStart"/>
      <w:r w:rsidRPr="008A64DF">
        <w:rPr>
          <w:rFonts w:ascii="Calibri" w:hAnsi="Calibri" w:cs="Calibri"/>
        </w:rPr>
        <w:t>iD</w:t>
      </w:r>
      <w:proofErr w:type="spellEnd"/>
      <w:r w:rsidRPr="008A64DF">
        <w:rPr>
          <w:rFonts w:ascii="Calibri" w:hAnsi="Calibri" w:cs="Calibri"/>
        </w:rPr>
        <w:t xml:space="preserve">: </w:t>
      </w:r>
      <w:r w:rsidRPr="00CB118C">
        <w:rPr>
          <w:rFonts w:ascii="Calibri" w:hAnsi="Calibri" w:cs="Calibri"/>
          <w:b/>
          <w:bCs/>
        </w:rPr>
        <w:t>0009-0001-5192-2705</w:t>
      </w:r>
    </w:p>
    <w:p w14:paraId="7A4215D7" w14:textId="080E958F" w:rsidR="00241768" w:rsidRPr="004C1335" w:rsidRDefault="00241768" w:rsidP="00CB118C">
      <w:pPr>
        <w:spacing w:after="240" w:line="240" w:lineRule="auto"/>
        <w:rPr>
          <w:rFonts w:ascii="Calibri" w:hAnsi="Calibri" w:cs="Calibri"/>
        </w:rPr>
      </w:pPr>
    </w:p>
    <w:p w14:paraId="307511E2" w14:textId="3CDCFD6D" w:rsidR="00241768" w:rsidRPr="004C1335" w:rsidRDefault="00241768" w:rsidP="00241768">
      <w:pPr>
        <w:spacing w:after="240" w:line="240" w:lineRule="auto"/>
        <w:jc w:val="center"/>
        <w:rPr>
          <w:rFonts w:ascii="Calibri" w:hAnsi="Calibri" w:cs="Calibri"/>
        </w:rPr>
      </w:pPr>
    </w:p>
    <w:p w14:paraId="4657DEFE" w14:textId="77777777" w:rsidR="009F1818" w:rsidRPr="004C1335" w:rsidRDefault="00241768" w:rsidP="00704C4F">
      <w:pPr>
        <w:pStyle w:val="Heading3"/>
        <w:rPr>
          <w:rFonts w:ascii="Calibri" w:hAnsi="Calibri" w:cs="Calibri"/>
        </w:rPr>
      </w:pPr>
      <w:r w:rsidRPr="004C1335">
        <w:rPr>
          <w:rFonts w:ascii="Calibri" w:hAnsi="Calibri" w:cs="Calibri"/>
        </w:rPr>
        <w:br w:type="page"/>
      </w:r>
    </w:p>
    <w:p w14:paraId="1E4D98E8" w14:textId="085D2029" w:rsidR="009F1818" w:rsidRPr="00F57072" w:rsidRDefault="009F1818" w:rsidP="00E37C95">
      <w:pPr>
        <w:jc w:val="center"/>
        <w:rPr>
          <w:sz w:val="40"/>
          <w:szCs w:val="40"/>
          <w:lang w:eastAsia="en-KE"/>
        </w:rPr>
      </w:pPr>
      <w:r w:rsidRPr="00F57072">
        <w:rPr>
          <w:sz w:val="40"/>
          <w:szCs w:val="40"/>
          <w:lang w:eastAsia="en-KE"/>
        </w:rPr>
        <w:lastRenderedPageBreak/>
        <w:t>Security and Resilience in Data Systems: A Resilience-by-Design Paradigm for Africa’s Digital Economy</w:t>
      </w:r>
    </w:p>
    <w:p w14:paraId="71D5FDB6" w14:textId="5180FA0A" w:rsidR="00704C4F" w:rsidRPr="00F16643" w:rsidRDefault="00F16643" w:rsidP="00F16643">
      <w:pPr>
        <w:pStyle w:val="Heading1"/>
        <w:jc w:val="center"/>
        <w:rPr>
          <w:rFonts w:eastAsia="Times New Roman"/>
          <w:sz w:val="32"/>
          <w:szCs w:val="32"/>
          <w:lang w:eastAsia="en-KE"/>
        </w:rPr>
      </w:pPr>
      <w:bookmarkStart w:id="0" w:name="_Toc213772602"/>
      <w:r w:rsidRPr="00F16643">
        <w:rPr>
          <w:rFonts w:eastAsia="Times New Roman"/>
          <w:sz w:val="32"/>
          <w:szCs w:val="32"/>
          <w:lang w:eastAsia="en-KE"/>
        </w:rPr>
        <w:t>ABSTRACT</w:t>
      </w:r>
      <w:bookmarkEnd w:id="0"/>
    </w:p>
    <w:p w14:paraId="39731E03" w14:textId="29168C1C" w:rsidR="00704C4F" w:rsidRPr="00F16643" w:rsidRDefault="00704C4F" w:rsidP="00704C4F">
      <w:pPr>
        <w:spacing w:before="100" w:beforeAutospacing="1" w:after="100" w:afterAutospacing="1" w:line="240" w:lineRule="auto"/>
        <w:jc w:val="both"/>
        <w:rPr>
          <w:rFonts w:ascii="Calibri" w:eastAsia="Times New Roman" w:hAnsi="Calibri" w:cs="Calibri"/>
          <w:i/>
          <w:iCs/>
          <w:kern w:val="0"/>
          <w:lang w:eastAsia="en-KE"/>
          <w14:ligatures w14:val="none"/>
        </w:rPr>
      </w:pPr>
      <w:r w:rsidRPr="00F16643">
        <w:rPr>
          <w:rFonts w:ascii="Calibri" w:eastAsia="Times New Roman" w:hAnsi="Calibri" w:cs="Calibri"/>
          <w:i/>
          <w:iCs/>
          <w:kern w:val="0"/>
          <w:lang w:eastAsia="en-KE"/>
          <w14:ligatures w14:val="none"/>
        </w:rPr>
        <w:t>The security and resilience of data systems have become central to public trust and national stability in Africa’s emerging digital economy. While frameworks such as Kenya’s Data Protection Act (2019)</w:t>
      </w:r>
      <w:sdt>
        <w:sdtPr>
          <w:rPr>
            <w:rFonts w:ascii="Calibri" w:eastAsia="Times New Roman" w:hAnsi="Calibri" w:cs="Calibri"/>
            <w:i/>
            <w:iCs/>
            <w:kern w:val="0"/>
            <w:lang w:eastAsia="en-KE"/>
            <w14:ligatures w14:val="none"/>
          </w:rPr>
          <w:id w:val="-190926493"/>
          <w:citation/>
        </w:sdtPr>
        <w:sdtContent>
          <w:r w:rsidR="00C52D3C" w:rsidRPr="00F16643">
            <w:rPr>
              <w:rFonts w:ascii="Calibri" w:eastAsia="Times New Roman" w:hAnsi="Calibri" w:cs="Calibri"/>
              <w:i/>
              <w:iCs/>
              <w:kern w:val="0"/>
              <w:lang w:eastAsia="en-KE"/>
              <w14:ligatures w14:val="none"/>
            </w:rPr>
            <w:fldChar w:fldCharType="begin"/>
          </w:r>
          <w:r w:rsidR="00C52D3C" w:rsidRPr="00F16643">
            <w:rPr>
              <w:rFonts w:ascii="Calibri" w:eastAsia="Times New Roman" w:hAnsi="Calibri" w:cs="Calibri"/>
              <w:i/>
              <w:iCs/>
              <w:kern w:val="0"/>
              <w:lang w:val="en-US" w:eastAsia="en-KE"/>
              <w14:ligatures w14:val="none"/>
            </w:rPr>
            <w:instrText xml:space="preserve"> CITATION The19 \l 1033 </w:instrText>
          </w:r>
          <w:r w:rsidR="00C52D3C" w:rsidRPr="00F16643">
            <w:rPr>
              <w:rFonts w:ascii="Calibri" w:eastAsia="Times New Roman" w:hAnsi="Calibri" w:cs="Calibri"/>
              <w:i/>
              <w:iCs/>
              <w:kern w:val="0"/>
              <w:lang w:eastAsia="en-KE"/>
              <w14:ligatures w14:val="none"/>
            </w:rPr>
            <w:fldChar w:fldCharType="separate"/>
          </w:r>
          <w:r w:rsidR="00C52D3C" w:rsidRPr="00F16643">
            <w:rPr>
              <w:rFonts w:ascii="Calibri" w:eastAsia="Times New Roman" w:hAnsi="Calibri" w:cs="Calibri"/>
              <w:i/>
              <w:iCs/>
              <w:noProof/>
              <w:kern w:val="0"/>
              <w:lang w:val="en-US" w:eastAsia="en-KE"/>
              <w14:ligatures w14:val="none"/>
            </w:rPr>
            <w:t xml:space="preserve"> (Kenya R. o., 2019)</w:t>
          </w:r>
          <w:r w:rsidR="00C52D3C" w:rsidRPr="00F16643">
            <w:rPr>
              <w:rFonts w:ascii="Calibri" w:eastAsia="Times New Roman" w:hAnsi="Calibri" w:cs="Calibri"/>
              <w:i/>
              <w:iCs/>
              <w:kern w:val="0"/>
              <w:lang w:eastAsia="en-KE"/>
              <w14:ligatures w14:val="none"/>
            </w:rPr>
            <w:fldChar w:fldCharType="end"/>
          </w:r>
        </w:sdtContent>
      </w:sdt>
      <w:r w:rsidRPr="00F16643">
        <w:rPr>
          <w:rFonts w:ascii="Calibri" w:eastAsia="Times New Roman" w:hAnsi="Calibri" w:cs="Calibri"/>
          <w:i/>
          <w:iCs/>
          <w:kern w:val="0"/>
          <w:lang w:eastAsia="en-KE"/>
          <w14:ligatures w14:val="none"/>
        </w:rPr>
        <w:t xml:space="preserve"> and the African Union’s Malabo Convention</w:t>
      </w:r>
      <w:sdt>
        <w:sdtPr>
          <w:rPr>
            <w:rFonts w:ascii="Calibri" w:eastAsia="Times New Roman" w:hAnsi="Calibri" w:cs="Calibri"/>
            <w:i/>
            <w:iCs/>
            <w:kern w:val="0"/>
            <w:lang w:eastAsia="en-KE"/>
            <w14:ligatures w14:val="none"/>
          </w:rPr>
          <w:id w:val="-564953981"/>
          <w:citation/>
        </w:sdtPr>
        <w:sdtContent>
          <w:r w:rsidR="00C52D3C" w:rsidRPr="00F16643">
            <w:rPr>
              <w:rFonts w:ascii="Calibri" w:eastAsia="Times New Roman" w:hAnsi="Calibri" w:cs="Calibri"/>
              <w:i/>
              <w:iCs/>
              <w:kern w:val="0"/>
              <w:lang w:eastAsia="en-KE"/>
              <w14:ligatures w14:val="none"/>
            </w:rPr>
            <w:fldChar w:fldCharType="begin"/>
          </w:r>
          <w:r w:rsidR="00C52D3C" w:rsidRPr="00F16643">
            <w:rPr>
              <w:rFonts w:ascii="Calibri" w:eastAsia="Times New Roman" w:hAnsi="Calibri" w:cs="Calibri"/>
              <w:i/>
              <w:iCs/>
              <w:kern w:val="0"/>
              <w:lang w:val="en-US" w:eastAsia="en-KE"/>
              <w14:ligatures w14:val="none"/>
            </w:rPr>
            <w:instrText xml:space="preserve"> CITATION Afr14 \l 1033 </w:instrText>
          </w:r>
          <w:r w:rsidR="00C52D3C" w:rsidRPr="00F16643">
            <w:rPr>
              <w:rFonts w:ascii="Calibri" w:eastAsia="Times New Roman" w:hAnsi="Calibri" w:cs="Calibri"/>
              <w:i/>
              <w:iCs/>
              <w:kern w:val="0"/>
              <w:lang w:eastAsia="en-KE"/>
              <w14:ligatures w14:val="none"/>
            </w:rPr>
            <w:fldChar w:fldCharType="separate"/>
          </w:r>
          <w:r w:rsidR="00C52D3C" w:rsidRPr="00F16643">
            <w:rPr>
              <w:rFonts w:ascii="Calibri" w:eastAsia="Times New Roman" w:hAnsi="Calibri" w:cs="Calibri"/>
              <w:i/>
              <w:iCs/>
              <w:noProof/>
              <w:kern w:val="0"/>
              <w:lang w:val="en-US" w:eastAsia="en-KE"/>
              <w14:ligatures w14:val="none"/>
            </w:rPr>
            <w:t xml:space="preserve"> (Union, 2014)</w:t>
          </w:r>
          <w:r w:rsidR="00C52D3C" w:rsidRPr="00F16643">
            <w:rPr>
              <w:rFonts w:ascii="Calibri" w:eastAsia="Times New Roman" w:hAnsi="Calibri" w:cs="Calibri"/>
              <w:i/>
              <w:iCs/>
              <w:kern w:val="0"/>
              <w:lang w:eastAsia="en-KE"/>
              <w14:ligatures w14:val="none"/>
            </w:rPr>
            <w:fldChar w:fldCharType="end"/>
          </w:r>
        </w:sdtContent>
      </w:sdt>
      <w:r w:rsidRPr="00F16643">
        <w:rPr>
          <w:rFonts w:ascii="Calibri" w:eastAsia="Times New Roman" w:hAnsi="Calibri" w:cs="Calibri"/>
          <w:i/>
          <w:iCs/>
          <w:kern w:val="0"/>
          <w:lang w:eastAsia="en-KE"/>
          <w14:ligatures w14:val="none"/>
        </w:rPr>
        <w:t xml:space="preserve"> have advanced privacy and compliance, they remain insufficient to ensure systemic continuity under disruptions such as cyberattacks, power outages, or infrastructure failures. This paper introduces a Resilience-by-Design paradigm that integrates resilience as a foundational design, operational, and governance principle within African data systems. Conceptually, the study draws on zero-trust architectures, fault-tolerant engineering, multi-cloud redundancy, and immutable data stores to minimize single points of failure. It employs an analytical approach that links these technical measures with resilience metrics, such as mean time to recover and data integrity loss, validated through chaos engineering and adversarial simulations. Governance innovations include resilience audits, enhanced Computer Emergency Response Teams (CERTs), and institutionalized cross-border coordination. The </w:t>
      </w:r>
      <w:r w:rsidR="00F33A9D" w:rsidRPr="00F16643">
        <w:rPr>
          <w:rFonts w:ascii="Calibri" w:eastAsia="Times New Roman" w:hAnsi="Calibri" w:cs="Calibri"/>
          <w:i/>
          <w:iCs/>
          <w:kern w:val="0"/>
          <w:lang w:eastAsia="en-KE"/>
          <w14:ligatures w14:val="none"/>
        </w:rPr>
        <w:t>article</w:t>
      </w:r>
      <w:r w:rsidRPr="00F16643">
        <w:rPr>
          <w:rFonts w:ascii="Calibri" w:eastAsia="Times New Roman" w:hAnsi="Calibri" w:cs="Calibri"/>
          <w:i/>
          <w:iCs/>
          <w:kern w:val="0"/>
          <w:lang w:eastAsia="en-KE"/>
          <w14:ligatures w14:val="none"/>
        </w:rPr>
        <w:t xml:space="preserve"> concludes by presenting a tiered adoption roadmap suited to Africa’s diverse capacities and proposes policy reforms to harmonize resilience obligations within existing data protection regimes. By reframing resilience as a measurable and regulatory complement to security, the study positions resilient data systems as strategic enablers of Africa’s inclusive and trusted digital transformation.</w:t>
      </w:r>
    </w:p>
    <w:p w14:paraId="6ADBCC6C" w14:textId="77777777" w:rsidR="00F16643" w:rsidRDefault="00F16643">
      <w:pPr>
        <w:rPr>
          <w:rFonts w:ascii="Calibri" w:eastAsia="Times New Roman" w:hAnsi="Calibri" w:cs="Calibri"/>
          <w:kern w:val="0"/>
          <w:lang w:eastAsia="en-KE"/>
          <w14:ligatures w14:val="none"/>
        </w:rPr>
      </w:pPr>
      <w:r>
        <w:rPr>
          <w:rFonts w:ascii="Calibri" w:eastAsia="Times New Roman" w:hAnsi="Calibri" w:cs="Calibri"/>
          <w:kern w:val="0"/>
          <w:lang w:eastAsia="en-KE"/>
          <w14:ligatures w14:val="none"/>
        </w:rPr>
        <w:br w:type="page"/>
      </w:r>
    </w:p>
    <w:p w14:paraId="6322F55D" w14:textId="3C8C5AF6" w:rsidR="002E3698" w:rsidRPr="004C1335" w:rsidRDefault="002E3698" w:rsidP="00704C4F">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 xml:space="preserve">Keywords: </w:t>
      </w:r>
      <w:r w:rsidR="0027185F">
        <w:rPr>
          <w:rFonts w:ascii="Calibri" w:eastAsia="Times New Roman" w:hAnsi="Calibri" w:cs="Calibri"/>
          <w:kern w:val="0"/>
          <w:lang w:eastAsia="en-KE"/>
          <w14:ligatures w14:val="none"/>
        </w:rPr>
        <w:t>Kenya,</w:t>
      </w:r>
      <w:r w:rsidRPr="004C1335">
        <w:rPr>
          <w:rFonts w:ascii="Calibri" w:eastAsia="Times New Roman" w:hAnsi="Calibri" w:cs="Calibri"/>
          <w:kern w:val="0"/>
          <w:lang w:eastAsia="en-KE"/>
          <w14:ligatures w14:val="none"/>
        </w:rPr>
        <w:t xml:space="preserve"> Cybersecurity</w:t>
      </w:r>
      <w:r w:rsidR="0027185F">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Data Governance</w:t>
      </w:r>
      <w:r w:rsidR="0027185F">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Digital Resilience</w:t>
      </w:r>
      <w:r w:rsidR="0027185F">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Information Systems</w:t>
      </w:r>
    </w:p>
    <w:sdt>
      <w:sdtPr>
        <w:rPr>
          <w:sz w:val="22"/>
          <w:szCs w:val="22"/>
        </w:rPr>
        <w:id w:val="1723712457"/>
        <w:docPartObj>
          <w:docPartGallery w:val="Table of Contents"/>
          <w:docPartUnique/>
        </w:docPartObj>
      </w:sdtPr>
      <w:sdtEndPr>
        <w:rPr>
          <w:rFonts w:asciiTheme="minorHAnsi" w:eastAsiaTheme="minorHAnsi" w:hAnsiTheme="minorHAnsi" w:cstheme="minorBidi"/>
          <w:b/>
          <w:bCs/>
          <w:noProof/>
          <w:color w:val="auto"/>
          <w:kern w:val="2"/>
          <w:sz w:val="24"/>
          <w:szCs w:val="24"/>
          <w:lang w:val="en-KE"/>
          <w14:ligatures w14:val="standardContextual"/>
        </w:rPr>
      </w:sdtEndPr>
      <w:sdtContent>
        <w:p w14:paraId="072BB980" w14:textId="74887E38" w:rsidR="009C24E9" w:rsidRPr="00FF2BA4" w:rsidRDefault="009C24E9" w:rsidP="00FF2BA4">
          <w:pPr>
            <w:pStyle w:val="TOCHeading"/>
            <w:jc w:val="center"/>
            <w:rPr>
              <w:sz w:val="24"/>
              <w:szCs w:val="24"/>
            </w:rPr>
          </w:pPr>
          <w:r w:rsidRPr="00FF2BA4">
            <w:rPr>
              <w:sz w:val="24"/>
              <w:szCs w:val="24"/>
            </w:rPr>
            <w:t>Table of Contents</w:t>
          </w:r>
        </w:p>
        <w:p w14:paraId="5A1E6799" w14:textId="74CA93AE" w:rsidR="00E37C95" w:rsidRPr="00F57072" w:rsidRDefault="009C24E9">
          <w:pPr>
            <w:pStyle w:val="TOC1"/>
            <w:tabs>
              <w:tab w:val="right" w:leader="dot" w:pos="8210"/>
            </w:tabs>
            <w:rPr>
              <w:rFonts w:eastAsiaTheme="minorEastAsia"/>
              <w:noProof/>
              <w:sz w:val="22"/>
              <w:szCs w:val="22"/>
              <w:lang w:val="en-KE" w:eastAsia="en-KE"/>
            </w:rPr>
          </w:pPr>
          <w:r w:rsidRPr="00F57072">
            <w:rPr>
              <w:sz w:val="22"/>
              <w:szCs w:val="22"/>
            </w:rPr>
            <w:fldChar w:fldCharType="begin"/>
          </w:r>
          <w:r w:rsidRPr="00F57072">
            <w:rPr>
              <w:sz w:val="22"/>
              <w:szCs w:val="22"/>
            </w:rPr>
            <w:instrText xml:space="preserve"> TOC \o "1-3" \h \z \u </w:instrText>
          </w:r>
          <w:r w:rsidRPr="00F57072">
            <w:rPr>
              <w:sz w:val="22"/>
              <w:szCs w:val="22"/>
            </w:rPr>
            <w:fldChar w:fldCharType="separate"/>
          </w:r>
          <w:hyperlink w:anchor="_Toc213772602" w:history="1">
            <w:r w:rsidR="00E37C95" w:rsidRPr="00F57072">
              <w:rPr>
                <w:rStyle w:val="Hyperlink"/>
                <w:rFonts w:eastAsia="Times New Roman"/>
                <w:noProof/>
                <w:sz w:val="22"/>
                <w:szCs w:val="22"/>
                <w:lang w:eastAsia="en-KE"/>
              </w:rPr>
              <w:t>ABSTRACT</w:t>
            </w:r>
            <w:r w:rsidR="00E37C95" w:rsidRPr="00F57072">
              <w:rPr>
                <w:noProof/>
                <w:webHidden/>
                <w:sz w:val="22"/>
                <w:szCs w:val="22"/>
              </w:rPr>
              <w:tab/>
            </w:r>
            <w:r w:rsidR="00E37C95" w:rsidRPr="00F57072">
              <w:rPr>
                <w:noProof/>
                <w:webHidden/>
                <w:sz w:val="22"/>
                <w:szCs w:val="22"/>
              </w:rPr>
              <w:fldChar w:fldCharType="begin"/>
            </w:r>
            <w:r w:rsidR="00E37C95" w:rsidRPr="00F57072">
              <w:rPr>
                <w:noProof/>
                <w:webHidden/>
                <w:sz w:val="22"/>
                <w:szCs w:val="22"/>
              </w:rPr>
              <w:instrText xml:space="preserve"> PAGEREF _Toc213772602 \h </w:instrText>
            </w:r>
            <w:r w:rsidR="00E37C95" w:rsidRPr="00F57072">
              <w:rPr>
                <w:noProof/>
                <w:webHidden/>
                <w:sz w:val="22"/>
                <w:szCs w:val="22"/>
              </w:rPr>
            </w:r>
            <w:r w:rsidR="00E37C95" w:rsidRPr="00F57072">
              <w:rPr>
                <w:noProof/>
                <w:webHidden/>
                <w:sz w:val="22"/>
                <w:szCs w:val="22"/>
              </w:rPr>
              <w:fldChar w:fldCharType="separate"/>
            </w:r>
            <w:r w:rsidR="00E37C95" w:rsidRPr="00F57072">
              <w:rPr>
                <w:noProof/>
                <w:webHidden/>
                <w:sz w:val="22"/>
                <w:szCs w:val="22"/>
              </w:rPr>
              <w:t>2</w:t>
            </w:r>
            <w:r w:rsidR="00E37C95" w:rsidRPr="00F57072">
              <w:rPr>
                <w:noProof/>
                <w:webHidden/>
                <w:sz w:val="22"/>
                <w:szCs w:val="22"/>
              </w:rPr>
              <w:fldChar w:fldCharType="end"/>
            </w:r>
          </w:hyperlink>
        </w:p>
        <w:p w14:paraId="5B792DD9" w14:textId="2FCCB343" w:rsidR="00E37C95" w:rsidRPr="00F57072" w:rsidRDefault="00E37C95">
          <w:pPr>
            <w:pStyle w:val="TOC1"/>
            <w:tabs>
              <w:tab w:val="right" w:leader="dot" w:pos="8210"/>
            </w:tabs>
            <w:rPr>
              <w:rFonts w:eastAsiaTheme="minorEastAsia"/>
              <w:noProof/>
              <w:sz w:val="22"/>
              <w:szCs w:val="22"/>
              <w:lang w:val="en-KE" w:eastAsia="en-KE"/>
            </w:rPr>
          </w:pPr>
          <w:hyperlink w:anchor="_Toc213772603" w:history="1">
            <w:r w:rsidRPr="00F57072">
              <w:rPr>
                <w:rStyle w:val="Hyperlink"/>
                <w:rFonts w:eastAsia="Times New Roman"/>
                <w:noProof/>
                <w:sz w:val="22"/>
                <w:szCs w:val="22"/>
                <w:lang w:eastAsia="en-KE"/>
              </w:rPr>
              <w:t>INTRODUCTION</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_Toc213772603 \h </w:instrText>
            </w:r>
            <w:r w:rsidRPr="00F57072">
              <w:rPr>
                <w:noProof/>
                <w:webHidden/>
                <w:sz w:val="22"/>
                <w:szCs w:val="22"/>
              </w:rPr>
            </w:r>
            <w:r w:rsidRPr="00F57072">
              <w:rPr>
                <w:noProof/>
                <w:webHidden/>
                <w:sz w:val="22"/>
                <w:szCs w:val="22"/>
              </w:rPr>
              <w:fldChar w:fldCharType="separate"/>
            </w:r>
            <w:r w:rsidRPr="00F57072">
              <w:rPr>
                <w:noProof/>
                <w:webHidden/>
                <w:sz w:val="22"/>
                <w:szCs w:val="22"/>
              </w:rPr>
              <w:t>5</w:t>
            </w:r>
            <w:r w:rsidRPr="00F57072">
              <w:rPr>
                <w:noProof/>
                <w:webHidden/>
                <w:sz w:val="22"/>
                <w:szCs w:val="22"/>
              </w:rPr>
              <w:fldChar w:fldCharType="end"/>
            </w:r>
          </w:hyperlink>
        </w:p>
        <w:p w14:paraId="52E0D2CB" w14:textId="0A89D301" w:rsidR="00E37C95" w:rsidRPr="00F57072" w:rsidRDefault="00E37C95">
          <w:pPr>
            <w:pStyle w:val="TOC1"/>
            <w:tabs>
              <w:tab w:val="right" w:leader="dot" w:pos="8210"/>
            </w:tabs>
            <w:rPr>
              <w:rFonts w:eastAsiaTheme="minorEastAsia"/>
              <w:noProof/>
              <w:sz w:val="22"/>
              <w:szCs w:val="22"/>
              <w:lang w:val="en-KE" w:eastAsia="en-KE"/>
            </w:rPr>
          </w:pPr>
          <w:hyperlink w:anchor="_Toc213772604" w:history="1">
            <w:r w:rsidRPr="00F57072">
              <w:rPr>
                <w:rStyle w:val="Hyperlink"/>
                <w:rFonts w:eastAsia="Times New Roman"/>
                <w:noProof/>
                <w:sz w:val="22"/>
                <w:szCs w:val="22"/>
                <w:lang w:eastAsia="en-KE"/>
              </w:rPr>
              <w:t>Theoretical and Conceptual Framework</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_Toc213772604 \h </w:instrText>
            </w:r>
            <w:r w:rsidRPr="00F57072">
              <w:rPr>
                <w:noProof/>
                <w:webHidden/>
                <w:sz w:val="22"/>
                <w:szCs w:val="22"/>
              </w:rPr>
            </w:r>
            <w:r w:rsidRPr="00F57072">
              <w:rPr>
                <w:noProof/>
                <w:webHidden/>
                <w:sz w:val="22"/>
                <w:szCs w:val="22"/>
              </w:rPr>
              <w:fldChar w:fldCharType="separate"/>
            </w:r>
            <w:r w:rsidRPr="00F57072">
              <w:rPr>
                <w:noProof/>
                <w:webHidden/>
                <w:sz w:val="22"/>
                <w:szCs w:val="22"/>
              </w:rPr>
              <w:t>6</w:t>
            </w:r>
            <w:r w:rsidRPr="00F57072">
              <w:rPr>
                <w:noProof/>
                <w:webHidden/>
                <w:sz w:val="22"/>
                <w:szCs w:val="22"/>
              </w:rPr>
              <w:fldChar w:fldCharType="end"/>
            </w:r>
          </w:hyperlink>
        </w:p>
        <w:p w14:paraId="1603A458" w14:textId="48AD0511" w:rsidR="00E37C95" w:rsidRPr="00F57072" w:rsidRDefault="00E37C95">
          <w:pPr>
            <w:pStyle w:val="TOC2"/>
            <w:tabs>
              <w:tab w:val="right" w:leader="dot" w:pos="8210"/>
            </w:tabs>
            <w:rPr>
              <w:rFonts w:eastAsiaTheme="minorEastAsia"/>
              <w:noProof/>
              <w:sz w:val="22"/>
              <w:szCs w:val="22"/>
              <w:lang w:val="en-KE" w:eastAsia="en-KE"/>
            </w:rPr>
          </w:pPr>
          <w:hyperlink w:anchor="_Toc213772605" w:history="1">
            <w:r w:rsidRPr="00F57072">
              <w:rPr>
                <w:rStyle w:val="Hyperlink"/>
                <w:rFonts w:eastAsia="Times New Roman"/>
                <w:noProof/>
                <w:sz w:val="22"/>
                <w:szCs w:val="22"/>
                <w:lang w:eastAsia="en-KE"/>
              </w:rPr>
              <w:t>Defining security and resilience</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_Toc213772605 \h </w:instrText>
            </w:r>
            <w:r w:rsidRPr="00F57072">
              <w:rPr>
                <w:noProof/>
                <w:webHidden/>
                <w:sz w:val="22"/>
                <w:szCs w:val="22"/>
              </w:rPr>
            </w:r>
            <w:r w:rsidRPr="00F57072">
              <w:rPr>
                <w:noProof/>
                <w:webHidden/>
                <w:sz w:val="22"/>
                <w:szCs w:val="22"/>
              </w:rPr>
              <w:fldChar w:fldCharType="separate"/>
            </w:r>
            <w:r w:rsidRPr="00F57072">
              <w:rPr>
                <w:noProof/>
                <w:webHidden/>
                <w:sz w:val="22"/>
                <w:szCs w:val="22"/>
              </w:rPr>
              <w:t>6</w:t>
            </w:r>
            <w:r w:rsidRPr="00F57072">
              <w:rPr>
                <w:noProof/>
                <w:webHidden/>
                <w:sz w:val="22"/>
                <w:szCs w:val="22"/>
              </w:rPr>
              <w:fldChar w:fldCharType="end"/>
            </w:r>
          </w:hyperlink>
        </w:p>
        <w:p w14:paraId="24C47B58" w14:textId="3E569D04" w:rsidR="00E37C95" w:rsidRPr="00F57072" w:rsidRDefault="00E37C95">
          <w:pPr>
            <w:pStyle w:val="TOC2"/>
            <w:tabs>
              <w:tab w:val="right" w:leader="dot" w:pos="8210"/>
            </w:tabs>
            <w:rPr>
              <w:rFonts w:eastAsiaTheme="minorEastAsia"/>
              <w:noProof/>
              <w:sz w:val="22"/>
              <w:szCs w:val="22"/>
              <w:lang w:val="en-KE" w:eastAsia="en-KE"/>
            </w:rPr>
          </w:pPr>
          <w:hyperlink w:anchor="_Toc213772606" w:history="1">
            <w:r w:rsidRPr="00F57072">
              <w:rPr>
                <w:rStyle w:val="Hyperlink"/>
                <w:rFonts w:eastAsia="Times New Roman"/>
                <w:noProof/>
                <w:sz w:val="22"/>
                <w:szCs w:val="22"/>
                <w:lang w:eastAsia="en-KE"/>
              </w:rPr>
              <w:t>Why a Resilience-by-Design paradigm is needed</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_Toc213772606 \h </w:instrText>
            </w:r>
            <w:r w:rsidRPr="00F57072">
              <w:rPr>
                <w:noProof/>
                <w:webHidden/>
                <w:sz w:val="22"/>
                <w:szCs w:val="22"/>
              </w:rPr>
            </w:r>
            <w:r w:rsidRPr="00F57072">
              <w:rPr>
                <w:noProof/>
                <w:webHidden/>
                <w:sz w:val="22"/>
                <w:szCs w:val="22"/>
              </w:rPr>
              <w:fldChar w:fldCharType="separate"/>
            </w:r>
            <w:r w:rsidRPr="00F57072">
              <w:rPr>
                <w:noProof/>
                <w:webHidden/>
                <w:sz w:val="22"/>
                <w:szCs w:val="22"/>
              </w:rPr>
              <w:t>6</w:t>
            </w:r>
            <w:r w:rsidRPr="00F57072">
              <w:rPr>
                <w:noProof/>
                <w:webHidden/>
                <w:sz w:val="22"/>
                <w:szCs w:val="22"/>
              </w:rPr>
              <w:fldChar w:fldCharType="end"/>
            </w:r>
          </w:hyperlink>
        </w:p>
        <w:p w14:paraId="20BC9B5D" w14:textId="74F9FAC9" w:rsidR="00E37C95" w:rsidRPr="00F57072" w:rsidRDefault="00E37C95">
          <w:pPr>
            <w:pStyle w:val="TOC1"/>
            <w:tabs>
              <w:tab w:val="right" w:leader="dot" w:pos="8210"/>
            </w:tabs>
            <w:rPr>
              <w:rFonts w:eastAsiaTheme="minorEastAsia"/>
              <w:noProof/>
              <w:sz w:val="22"/>
              <w:szCs w:val="22"/>
              <w:lang w:val="en-KE" w:eastAsia="en-KE"/>
            </w:rPr>
          </w:pPr>
          <w:hyperlink w:anchor="_Toc213772607" w:history="1">
            <w:r w:rsidRPr="00F57072">
              <w:rPr>
                <w:rStyle w:val="Hyperlink"/>
                <w:rFonts w:eastAsia="Times New Roman"/>
                <w:noProof/>
                <w:sz w:val="22"/>
                <w:szCs w:val="22"/>
                <w:lang w:eastAsia="en-KE"/>
              </w:rPr>
              <w:t>THE AFRICAN LEGAL AND POLICY CONTEXT</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_Toc213772607 \h </w:instrText>
            </w:r>
            <w:r w:rsidRPr="00F57072">
              <w:rPr>
                <w:noProof/>
                <w:webHidden/>
                <w:sz w:val="22"/>
                <w:szCs w:val="22"/>
              </w:rPr>
            </w:r>
            <w:r w:rsidRPr="00F57072">
              <w:rPr>
                <w:noProof/>
                <w:webHidden/>
                <w:sz w:val="22"/>
                <w:szCs w:val="22"/>
              </w:rPr>
              <w:fldChar w:fldCharType="separate"/>
            </w:r>
            <w:r w:rsidRPr="00F57072">
              <w:rPr>
                <w:noProof/>
                <w:webHidden/>
                <w:sz w:val="22"/>
                <w:szCs w:val="22"/>
              </w:rPr>
              <w:t>12</w:t>
            </w:r>
            <w:r w:rsidRPr="00F57072">
              <w:rPr>
                <w:noProof/>
                <w:webHidden/>
                <w:sz w:val="22"/>
                <w:szCs w:val="22"/>
              </w:rPr>
              <w:fldChar w:fldCharType="end"/>
            </w:r>
          </w:hyperlink>
        </w:p>
        <w:p w14:paraId="7EA101B1" w14:textId="4B81916B" w:rsidR="00E37C95" w:rsidRPr="00F57072" w:rsidRDefault="00E37C95">
          <w:pPr>
            <w:pStyle w:val="TOC2"/>
            <w:tabs>
              <w:tab w:val="right" w:leader="dot" w:pos="8210"/>
            </w:tabs>
            <w:rPr>
              <w:rFonts w:eastAsiaTheme="minorEastAsia"/>
              <w:noProof/>
              <w:sz w:val="22"/>
              <w:szCs w:val="22"/>
              <w:lang w:val="en-KE" w:eastAsia="en-KE"/>
            </w:rPr>
          </w:pPr>
          <w:hyperlink w:anchor="_Toc213772608" w:history="1">
            <w:r w:rsidRPr="00F57072">
              <w:rPr>
                <w:rStyle w:val="Hyperlink"/>
                <w:rFonts w:eastAsia="Times New Roman"/>
                <w:noProof/>
                <w:sz w:val="22"/>
                <w:szCs w:val="22"/>
                <w:lang w:eastAsia="en-KE"/>
              </w:rPr>
              <w:t>Existing Frameworks</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_Toc213772608 \h </w:instrText>
            </w:r>
            <w:r w:rsidRPr="00F57072">
              <w:rPr>
                <w:noProof/>
                <w:webHidden/>
                <w:sz w:val="22"/>
                <w:szCs w:val="22"/>
              </w:rPr>
            </w:r>
            <w:r w:rsidRPr="00F57072">
              <w:rPr>
                <w:noProof/>
                <w:webHidden/>
                <w:sz w:val="22"/>
                <w:szCs w:val="22"/>
              </w:rPr>
              <w:fldChar w:fldCharType="separate"/>
            </w:r>
            <w:r w:rsidRPr="00F57072">
              <w:rPr>
                <w:noProof/>
                <w:webHidden/>
                <w:sz w:val="22"/>
                <w:szCs w:val="22"/>
              </w:rPr>
              <w:t>12</w:t>
            </w:r>
            <w:r w:rsidRPr="00F57072">
              <w:rPr>
                <w:noProof/>
                <w:webHidden/>
                <w:sz w:val="22"/>
                <w:szCs w:val="22"/>
              </w:rPr>
              <w:fldChar w:fldCharType="end"/>
            </w:r>
          </w:hyperlink>
        </w:p>
        <w:p w14:paraId="01CAEB60" w14:textId="5D6D3120" w:rsidR="00E37C95" w:rsidRPr="00F57072" w:rsidRDefault="00E37C95">
          <w:pPr>
            <w:pStyle w:val="TOC2"/>
            <w:tabs>
              <w:tab w:val="right" w:leader="dot" w:pos="8210"/>
            </w:tabs>
            <w:rPr>
              <w:rFonts w:eastAsiaTheme="minorEastAsia"/>
              <w:noProof/>
              <w:sz w:val="22"/>
              <w:szCs w:val="22"/>
              <w:lang w:val="en-KE" w:eastAsia="en-KE"/>
            </w:rPr>
          </w:pPr>
          <w:hyperlink w:anchor="_Toc213772609" w:history="1">
            <w:r w:rsidRPr="00F57072">
              <w:rPr>
                <w:rStyle w:val="Hyperlink"/>
                <w:rFonts w:eastAsia="Times New Roman"/>
                <w:noProof/>
                <w:sz w:val="22"/>
                <w:szCs w:val="22"/>
                <w:lang w:eastAsia="en-KE"/>
              </w:rPr>
              <w:t>Where the laws support resilience today</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_Toc213772609 \h </w:instrText>
            </w:r>
            <w:r w:rsidRPr="00F57072">
              <w:rPr>
                <w:noProof/>
                <w:webHidden/>
                <w:sz w:val="22"/>
                <w:szCs w:val="22"/>
              </w:rPr>
            </w:r>
            <w:r w:rsidRPr="00F57072">
              <w:rPr>
                <w:noProof/>
                <w:webHidden/>
                <w:sz w:val="22"/>
                <w:szCs w:val="22"/>
              </w:rPr>
              <w:fldChar w:fldCharType="separate"/>
            </w:r>
            <w:r w:rsidRPr="00F57072">
              <w:rPr>
                <w:noProof/>
                <w:webHidden/>
                <w:sz w:val="22"/>
                <w:szCs w:val="22"/>
              </w:rPr>
              <w:t>14</w:t>
            </w:r>
            <w:r w:rsidRPr="00F57072">
              <w:rPr>
                <w:noProof/>
                <w:webHidden/>
                <w:sz w:val="22"/>
                <w:szCs w:val="22"/>
              </w:rPr>
              <w:fldChar w:fldCharType="end"/>
            </w:r>
          </w:hyperlink>
        </w:p>
        <w:p w14:paraId="60B46FF4" w14:textId="1760E039" w:rsidR="00E37C95" w:rsidRPr="00F57072" w:rsidRDefault="00E37C95">
          <w:pPr>
            <w:pStyle w:val="TOC2"/>
            <w:tabs>
              <w:tab w:val="right" w:leader="dot" w:pos="8210"/>
            </w:tabs>
            <w:rPr>
              <w:rFonts w:eastAsiaTheme="minorEastAsia"/>
              <w:noProof/>
              <w:sz w:val="22"/>
              <w:szCs w:val="22"/>
              <w:lang w:val="en-KE" w:eastAsia="en-KE"/>
            </w:rPr>
          </w:pPr>
          <w:hyperlink w:anchor="_Toc213772610" w:history="1">
            <w:r w:rsidRPr="00F57072">
              <w:rPr>
                <w:rStyle w:val="Hyperlink"/>
                <w:rFonts w:eastAsia="Times New Roman"/>
                <w:noProof/>
                <w:sz w:val="22"/>
                <w:szCs w:val="22"/>
                <w:lang w:eastAsia="en-KE"/>
              </w:rPr>
              <w:t>Synthesis and implications for policy</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_Toc213772610 \h </w:instrText>
            </w:r>
            <w:r w:rsidRPr="00F57072">
              <w:rPr>
                <w:noProof/>
                <w:webHidden/>
                <w:sz w:val="22"/>
                <w:szCs w:val="22"/>
              </w:rPr>
            </w:r>
            <w:r w:rsidRPr="00F57072">
              <w:rPr>
                <w:noProof/>
                <w:webHidden/>
                <w:sz w:val="22"/>
                <w:szCs w:val="22"/>
              </w:rPr>
              <w:fldChar w:fldCharType="separate"/>
            </w:r>
            <w:r w:rsidRPr="00F57072">
              <w:rPr>
                <w:noProof/>
                <w:webHidden/>
                <w:sz w:val="22"/>
                <w:szCs w:val="22"/>
              </w:rPr>
              <w:t>15</w:t>
            </w:r>
            <w:r w:rsidRPr="00F57072">
              <w:rPr>
                <w:noProof/>
                <w:webHidden/>
                <w:sz w:val="22"/>
                <w:szCs w:val="22"/>
              </w:rPr>
              <w:fldChar w:fldCharType="end"/>
            </w:r>
          </w:hyperlink>
        </w:p>
        <w:p w14:paraId="0537D8AF" w14:textId="1A2FDA15" w:rsidR="00E37C95" w:rsidRPr="00F57072" w:rsidRDefault="00E37C95">
          <w:pPr>
            <w:pStyle w:val="TOC1"/>
            <w:tabs>
              <w:tab w:val="right" w:leader="dot" w:pos="8210"/>
            </w:tabs>
            <w:rPr>
              <w:rFonts w:eastAsiaTheme="minorEastAsia"/>
              <w:noProof/>
              <w:sz w:val="22"/>
              <w:szCs w:val="22"/>
              <w:lang w:val="en-KE" w:eastAsia="en-KE"/>
            </w:rPr>
          </w:pPr>
          <w:hyperlink w:anchor="_Toc213772611" w:history="1">
            <w:r w:rsidRPr="00F57072">
              <w:rPr>
                <w:rStyle w:val="Hyperlink"/>
                <w:rFonts w:eastAsia="Times New Roman"/>
                <w:noProof/>
                <w:sz w:val="22"/>
                <w:szCs w:val="22"/>
                <w:lang w:eastAsia="en-KE"/>
              </w:rPr>
              <w:t>Design-Level Resilience</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_Toc213772611 \h </w:instrText>
            </w:r>
            <w:r w:rsidRPr="00F57072">
              <w:rPr>
                <w:noProof/>
                <w:webHidden/>
                <w:sz w:val="22"/>
                <w:szCs w:val="22"/>
              </w:rPr>
            </w:r>
            <w:r w:rsidRPr="00F57072">
              <w:rPr>
                <w:noProof/>
                <w:webHidden/>
                <w:sz w:val="22"/>
                <w:szCs w:val="22"/>
              </w:rPr>
              <w:fldChar w:fldCharType="separate"/>
            </w:r>
            <w:r w:rsidRPr="00F57072">
              <w:rPr>
                <w:noProof/>
                <w:webHidden/>
                <w:sz w:val="22"/>
                <w:szCs w:val="22"/>
              </w:rPr>
              <w:t>16</w:t>
            </w:r>
            <w:r w:rsidRPr="00F57072">
              <w:rPr>
                <w:noProof/>
                <w:webHidden/>
                <w:sz w:val="22"/>
                <w:szCs w:val="22"/>
              </w:rPr>
              <w:fldChar w:fldCharType="end"/>
            </w:r>
          </w:hyperlink>
        </w:p>
        <w:p w14:paraId="4A80716A" w14:textId="581BE7F9" w:rsidR="00E37C95" w:rsidRPr="00F57072" w:rsidRDefault="00E37C95">
          <w:pPr>
            <w:pStyle w:val="TOC2"/>
            <w:tabs>
              <w:tab w:val="right" w:leader="dot" w:pos="8210"/>
            </w:tabs>
            <w:rPr>
              <w:rFonts w:eastAsiaTheme="minorEastAsia"/>
              <w:noProof/>
              <w:sz w:val="22"/>
              <w:szCs w:val="22"/>
              <w:lang w:val="en-KE" w:eastAsia="en-KE"/>
            </w:rPr>
          </w:pPr>
          <w:hyperlink w:anchor="_Toc213772612" w:history="1">
            <w:r w:rsidRPr="00F57072">
              <w:rPr>
                <w:rStyle w:val="Hyperlink"/>
                <w:rFonts w:eastAsia="Times New Roman"/>
                <w:noProof/>
                <w:sz w:val="22"/>
                <w:szCs w:val="22"/>
                <w:lang w:eastAsia="en-KE"/>
              </w:rPr>
              <w:t>Technical Integration</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_Toc213772612 \h </w:instrText>
            </w:r>
            <w:r w:rsidRPr="00F57072">
              <w:rPr>
                <w:noProof/>
                <w:webHidden/>
                <w:sz w:val="22"/>
                <w:szCs w:val="22"/>
              </w:rPr>
            </w:r>
            <w:r w:rsidRPr="00F57072">
              <w:rPr>
                <w:noProof/>
                <w:webHidden/>
                <w:sz w:val="22"/>
                <w:szCs w:val="22"/>
              </w:rPr>
              <w:fldChar w:fldCharType="separate"/>
            </w:r>
            <w:r w:rsidRPr="00F57072">
              <w:rPr>
                <w:noProof/>
                <w:webHidden/>
                <w:sz w:val="22"/>
                <w:szCs w:val="22"/>
              </w:rPr>
              <w:t>16</w:t>
            </w:r>
            <w:r w:rsidRPr="00F57072">
              <w:rPr>
                <w:noProof/>
                <w:webHidden/>
                <w:sz w:val="22"/>
                <w:szCs w:val="22"/>
              </w:rPr>
              <w:fldChar w:fldCharType="end"/>
            </w:r>
          </w:hyperlink>
        </w:p>
        <w:p w14:paraId="3C8BC00E" w14:textId="1128BD74" w:rsidR="00E37C95" w:rsidRPr="00F57072" w:rsidRDefault="00E37C95">
          <w:pPr>
            <w:pStyle w:val="TOC2"/>
            <w:tabs>
              <w:tab w:val="right" w:leader="dot" w:pos="8210"/>
            </w:tabs>
            <w:rPr>
              <w:rFonts w:eastAsiaTheme="minorEastAsia"/>
              <w:noProof/>
              <w:sz w:val="22"/>
              <w:szCs w:val="22"/>
              <w:lang w:val="en-KE" w:eastAsia="en-KE"/>
            </w:rPr>
          </w:pPr>
          <w:hyperlink w:anchor="_Toc213772613" w:history="1">
            <w:r w:rsidRPr="00F57072">
              <w:rPr>
                <w:rStyle w:val="Hyperlink"/>
                <w:rFonts w:eastAsia="Times New Roman"/>
                <w:noProof/>
                <w:sz w:val="22"/>
                <w:szCs w:val="22"/>
                <w:lang w:eastAsia="en-KE"/>
              </w:rPr>
              <w:t>Embed Resilience at the Design Stage</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_Toc213772613 \h </w:instrText>
            </w:r>
            <w:r w:rsidRPr="00F57072">
              <w:rPr>
                <w:noProof/>
                <w:webHidden/>
                <w:sz w:val="22"/>
                <w:szCs w:val="22"/>
              </w:rPr>
            </w:r>
            <w:r w:rsidRPr="00F57072">
              <w:rPr>
                <w:noProof/>
                <w:webHidden/>
                <w:sz w:val="22"/>
                <w:szCs w:val="22"/>
              </w:rPr>
              <w:fldChar w:fldCharType="separate"/>
            </w:r>
            <w:r w:rsidRPr="00F57072">
              <w:rPr>
                <w:noProof/>
                <w:webHidden/>
                <w:sz w:val="22"/>
                <w:szCs w:val="22"/>
              </w:rPr>
              <w:t>18</w:t>
            </w:r>
            <w:r w:rsidRPr="00F57072">
              <w:rPr>
                <w:noProof/>
                <w:webHidden/>
                <w:sz w:val="22"/>
                <w:szCs w:val="22"/>
              </w:rPr>
              <w:fldChar w:fldCharType="end"/>
            </w:r>
          </w:hyperlink>
        </w:p>
        <w:p w14:paraId="5853BD0A" w14:textId="7DCC2D03" w:rsidR="00E37C95" w:rsidRPr="00F57072" w:rsidRDefault="00E37C95">
          <w:pPr>
            <w:pStyle w:val="TOC1"/>
            <w:tabs>
              <w:tab w:val="right" w:leader="dot" w:pos="8210"/>
            </w:tabs>
            <w:rPr>
              <w:rFonts w:eastAsiaTheme="minorEastAsia"/>
              <w:noProof/>
              <w:sz w:val="22"/>
              <w:szCs w:val="22"/>
              <w:lang w:val="en-KE" w:eastAsia="en-KE"/>
            </w:rPr>
          </w:pPr>
          <w:hyperlink w:anchor="_Toc213772614" w:history="1">
            <w:r w:rsidRPr="00F57072">
              <w:rPr>
                <w:rStyle w:val="Hyperlink"/>
                <w:rFonts w:eastAsia="Times New Roman"/>
                <w:noProof/>
                <w:sz w:val="22"/>
                <w:szCs w:val="22"/>
                <w:lang w:eastAsia="en-KE"/>
              </w:rPr>
              <w:t>Operational-Level Resilience</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_Toc213772614 \h </w:instrText>
            </w:r>
            <w:r w:rsidRPr="00F57072">
              <w:rPr>
                <w:noProof/>
                <w:webHidden/>
                <w:sz w:val="22"/>
                <w:szCs w:val="22"/>
              </w:rPr>
            </w:r>
            <w:r w:rsidRPr="00F57072">
              <w:rPr>
                <w:noProof/>
                <w:webHidden/>
                <w:sz w:val="22"/>
                <w:szCs w:val="22"/>
              </w:rPr>
              <w:fldChar w:fldCharType="separate"/>
            </w:r>
            <w:r w:rsidRPr="00F57072">
              <w:rPr>
                <w:noProof/>
                <w:webHidden/>
                <w:sz w:val="22"/>
                <w:szCs w:val="22"/>
              </w:rPr>
              <w:t>19</w:t>
            </w:r>
            <w:r w:rsidRPr="00F57072">
              <w:rPr>
                <w:noProof/>
                <w:webHidden/>
                <w:sz w:val="22"/>
                <w:szCs w:val="22"/>
              </w:rPr>
              <w:fldChar w:fldCharType="end"/>
            </w:r>
          </w:hyperlink>
        </w:p>
        <w:p w14:paraId="1F880E50" w14:textId="03A0AA7B" w:rsidR="00E37C95" w:rsidRPr="00F57072" w:rsidRDefault="00E37C95">
          <w:pPr>
            <w:pStyle w:val="TOC2"/>
            <w:tabs>
              <w:tab w:val="right" w:leader="dot" w:pos="8210"/>
            </w:tabs>
            <w:rPr>
              <w:rFonts w:eastAsiaTheme="minorEastAsia"/>
              <w:noProof/>
              <w:sz w:val="22"/>
              <w:szCs w:val="22"/>
              <w:lang w:val="en-KE" w:eastAsia="en-KE"/>
            </w:rPr>
          </w:pPr>
          <w:hyperlink w:anchor="_Toc213772615" w:history="1">
            <w:r w:rsidRPr="00F57072">
              <w:rPr>
                <w:rStyle w:val="Hyperlink"/>
                <w:rFonts w:eastAsia="Times New Roman"/>
                <w:noProof/>
                <w:sz w:val="22"/>
                <w:szCs w:val="22"/>
                <w:lang w:eastAsia="en-KE"/>
              </w:rPr>
              <w:t>Resilience Metrics</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_Toc213772615 \h </w:instrText>
            </w:r>
            <w:r w:rsidRPr="00F57072">
              <w:rPr>
                <w:noProof/>
                <w:webHidden/>
                <w:sz w:val="22"/>
                <w:szCs w:val="22"/>
              </w:rPr>
            </w:r>
            <w:r w:rsidRPr="00F57072">
              <w:rPr>
                <w:noProof/>
                <w:webHidden/>
                <w:sz w:val="22"/>
                <w:szCs w:val="22"/>
              </w:rPr>
              <w:fldChar w:fldCharType="separate"/>
            </w:r>
            <w:r w:rsidRPr="00F57072">
              <w:rPr>
                <w:noProof/>
                <w:webHidden/>
                <w:sz w:val="22"/>
                <w:szCs w:val="22"/>
              </w:rPr>
              <w:t>20</w:t>
            </w:r>
            <w:r w:rsidRPr="00F57072">
              <w:rPr>
                <w:noProof/>
                <w:webHidden/>
                <w:sz w:val="22"/>
                <w:szCs w:val="22"/>
              </w:rPr>
              <w:fldChar w:fldCharType="end"/>
            </w:r>
          </w:hyperlink>
        </w:p>
        <w:p w14:paraId="4199D932" w14:textId="5F977BC4" w:rsidR="00E37C95" w:rsidRPr="00F57072" w:rsidRDefault="00E37C95">
          <w:pPr>
            <w:pStyle w:val="TOC2"/>
            <w:tabs>
              <w:tab w:val="right" w:leader="dot" w:pos="8210"/>
            </w:tabs>
            <w:rPr>
              <w:rFonts w:eastAsiaTheme="minorEastAsia"/>
              <w:noProof/>
              <w:sz w:val="22"/>
              <w:szCs w:val="22"/>
              <w:lang w:val="en-KE" w:eastAsia="en-KE"/>
            </w:rPr>
          </w:pPr>
          <w:hyperlink w:anchor="_Toc213772616" w:history="1">
            <w:r w:rsidRPr="00F57072">
              <w:rPr>
                <w:rStyle w:val="Hyperlink"/>
                <w:rFonts w:eastAsia="Times New Roman"/>
                <w:noProof/>
                <w:sz w:val="22"/>
                <w:szCs w:val="22"/>
                <w:lang w:eastAsia="en-KE"/>
              </w:rPr>
              <w:t>Testing Mechanisms</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_Toc213772616 \h </w:instrText>
            </w:r>
            <w:r w:rsidRPr="00F57072">
              <w:rPr>
                <w:noProof/>
                <w:webHidden/>
                <w:sz w:val="22"/>
                <w:szCs w:val="22"/>
              </w:rPr>
            </w:r>
            <w:r w:rsidRPr="00F57072">
              <w:rPr>
                <w:noProof/>
                <w:webHidden/>
                <w:sz w:val="22"/>
                <w:szCs w:val="22"/>
              </w:rPr>
              <w:fldChar w:fldCharType="separate"/>
            </w:r>
            <w:r w:rsidRPr="00F57072">
              <w:rPr>
                <w:noProof/>
                <w:webHidden/>
                <w:sz w:val="22"/>
                <w:szCs w:val="22"/>
              </w:rPr>
              <w:t>21</w:t>
            </w:r>
            <w:r w:rsidRPr="00F57072">
              <w:rPr>
                <w:noProof/>
                <w:webHidden/>
                <w:sz w:val="22"/>
                <w:szCs w:val="22"/>
              </w:rPr>
              <w:fldChar w:fldCharType="end"/>
            </w:r>
          </w:hyperlink>
        </w:p>
        <w:p w14:paraId="462E2D9A" w14:textId="682F0D6E" w:rsidR="00E37C95" w:rsidRPr="00F57072" w:rsidRDefault="00E37C95">
          <w:pPr>
            <w:pStyle w:val="TOC2"/>
            <w:tabs>
              <w:tab w:val="right" w:leader="dot" w:pos="8210"/>
            </w:tabs>
            <w:rPr>
              <w:rFonts w:eastAsiaTheme="minorEastAsia"/>
              <w:noProof/>
              <w:sz w:val="22"/>
              <w:szCs w:val="22"/>
              <w:lang w:val="en-KE" w:eastAsia="en-KE"/>
            </w:rPr>
          </w:pPr>
          <w:hyperlink w:anchor="_Toc213772617" w:history="1">
            <w:r w:rsidRPr="00F57072">
              <w:rPr>
                <w:rStyle w:val="Hyperlink"/>
                <w:rFonts w:eastAsia="Times New Roman"/>
                <w:noProof/>
                <w:sz w:val="22"/>
                <w:szCs w:val="22"/>
                <w:lang w:eastAsia="en-KE"/>
              </w:rPr>
              <w:t>AI and Automation</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_Toc213772617 \h </w:instrText>
            </w:r>
            <w:r w:rsidRPr="00F57072">
              <w:rPr>
                <w:noProof/>
                <w:webHidden/>
                <w:sz w:val="22"/>
                <w:szCs w:val="22"/>
              </w:rPr>
            </w:r>
            <w:r w:rsidRPr="00F57072">
              <w:rPr>
                <w:noProof/>
                <w:webHidden/>
                <w:sz w:val="22"/>
                <w:szCs w:val="22"/>
              </w:rPr>
              <w:fldChar w:fldCharType="separate"/>
            </w:r>
            <w:r w:rsidRPr="00F57072">
              <w:rPr>
                <w:noProof/>
                <w:webHidden/>
                <w:sz w:val="22"/>
                <w:szCs w:val="22"/>
              </w:rPr>
              <w:t>22</w:t>
            </w:r>
            <w:r w:rsidRPr="00F57072">
              <w:rPr>
                <w:noProof/>
                <w:webHidden/>
                <w:sz w:val="22"/>
                <w:szCs w:val="22"/>
              </w:rPr>
              <w:fldChar w:fldCharType="end"/>
            </w:r>
          </w:hyperlink>
        </w:p>
        <w:p w14:paraId="74984FFF" w14:textId="10D28869" w:rsidR="00E37C95" w:rsidRPr="00F57072" w:rsidRDefault="00E37C95">
          <w:pPr>
            <w:pStyle w:val="TOC1"/>
            <w:tabs>
              <w:tab w:val="right" w:leader="dot" w:pos="8210"/>
            </w:tabs>
            <w:rPr>
              <w:rFonts w:eastAsiaTheme="minorEastAsia"/>
              <w:noProof/>
              <w:sz w:val="22"/>
              <w:szCs w:val="22"/>
              <w:lang w:val="en-KE" w:eastAsia="en-KE"/>
            </w:rPr>
          </w:pPr>
          <w:hyperlink w:anchor="_Toc213772618" w:history="1">
            <w:r w:rsidRPr="00F57072">
              <w:rPr>
                <w:rStyle w:val="Hyperlink"/>
                <w:rFonts w:eastAsia="Times New Roman"/>
                <w:noProof/>
                <w:sz w:val="22"/>
                <w:szCs w:val="22"/>
                <w:lang w:eastAsia="en-KE"/>
              </w:rPr>
              <w:t>GOVERNANCE LEVEL-RESILIENCE</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_Toc213772618 \h </w:instrText>
            </w:r>
            <w:r w:rsidRPr="00F57072">
              <w:rPr>
                <w:noProof/>
                <w:webHidden/>
                <w:sz w:val="22"/>
                <w:szCs w:val="22"/>
              </w:rPr>
            </w:r>
            <w:r w:rsidRPr="00F57072">
              <w:rPr>
                <w:noProof/>
                <w:webHidden/>
                <w:sz w:val="22"/>
                <w:szCs w:val="22"/>
              </w:rPr>
              <w:fldChar w:fldCharType="separate"/>
            </w:r>
            <w:r w:rsidRPr="00F57072">
              <w:rPr>
                <w:noProof/>
                <w:webHidden/>
                <w:sz w:val="22"/>
                <w:szCs w:val="22"/>
              </w:rPr>
              <w:t>23</w:t>
            </w:r>
            <w:r w:rsidRPr="00F57072">
              <w:rPr>
                <w:noProof/>
                <w:webHidden/>
                <w:sz w:val="22"/>
                <w:szCs w:val="22"/>
              </w:rPr>
              <w:fldChar w:fldCharType="end"/>
            </w:r>
          </w:hyperlink>
        </w:p>
        <w:p w14:paraId="1241EECA" w14:textId="46E194DE" w:rsidR="00E37C95" w:rsidRPr="00F57072" w:rsidRDefault="00E37C95">
          <w:pPr>
            <w:pStyle w:val="TOC2"/>
            <w:tabs>
              <w:tab w:val="right" w:leader="dot" w:pos="8210"/>
            </w:tabs>
            <w:rPr>
              <w:rFonts w:eastAsiaTheme="minorEastAsia"/>
              <w:noProof/>
              <w:sz w:val="22"/>
              <w:szCs w:val="22"/>
              <w:lang w:val="en-KE" w:eastAsia="en-KE"/>
            </w:rPr>
          </w:pPr>
          <w:hyperlink w:anchor="_Toc213772619" w:history="1">
            <w:r w:rsidRPr="00F57072">
              <w:rPr>
                <w:rStyle w:val="Hyperlink"/>
                <w:rFonts w:eastAsia="Times New Roman"/>
                <w:noProof/>
                <w:sz w:val="22"/>
                <w:szCs w:val="22"/>
                <w:lang w:eastAsia="en-KE"/>
              </w:rPr>
              <w:t>Institutional Integration</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_Toc213772619 \h </w:instrText>
            </w:r>
            <w:r w:rsidRPr="00F57072">
              <w:rPr>
                <w:noProof/>
                <w:webHidden/>
                <w:sz w:val="22"/>
                <w:szCs w:val="22"/>
              </w:rPr>
            </w:r>
            <w:r w:rsidRPr="00F57072">
              <w:rPr>
                <w:noProof/>
                <w:webHidden/>
                <w:sz w:val="22"/>
                <w:szCs w:val="22"/>
              </w:rPr>
              <w:fldChar w:fldCharType="separate"/>
            </w:r>
            <w:r w:rsidRPr="00F57072">
              <w:rPr>
                <w:noProof/>
                <w:webHidden/>
                <w:sz w:val="22"/>
                <w:szCs w:val="22"/>
              </w:rPr>
              <w:t>23</w:t>
            </w:r>
            <w:r w:rsidRPr="00F57072">
              <w:rPr>
                <w:noProof/>
                <w:webHidden/>
                <w:sz w:val="22"/>
                <w:szCs w:val="22"/>
              </w:rPr>
              <w:fldChar w:fldCharType="end"/>
            </w:r>
          </w:hyperlink>
        </w:p>
        <w:p w14:paraId="06726652" w14:textId="707C29AA" w:rsidR="00E37C95" w:rsidRPr="00F57072" w:rsidRDefault="00E37C95">
          <w:pPr>
            <w:pStyle w:val="TOC2"/>
            <w:tabs>
              <w:tab w:val="right" w:leader="dot" w:pos="8210"/>
            </w:tabs>
            <w:rPr>
              <w:rFonts w:eastAsiaTheme="minorEastAsia"/>
              <w:noProof/>
              <w:sz w:val="22"/>
              <w:szCs w:val="22"/>
              <w:lang w:val="en-KE" w:eastAsia="en-KE"/>
            </w:rPr>
          </w:pPr>
          <w:hyperlink w:anchor="_Toc213772620" w:history="1">
            <w:r w:rsidRPr="00F57072">
              <w:rPr>
                <w:rStyle w:val="Hyperlink"/>
                <w:rFonts w:eastAsia="Times New Roman"/>
                <w:noProof/>
                <w:sz w:val="22"/>
                <w:szCs w:val="22"/>
                <w:lang w:eastAsia="en-KE"/>
              </w:rPr>
              <w:t>Regulatory Innovation</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_Toc213772620 \h </w:instrText>
            </w:r>
            <w:r w:rsidRPr="00F57072">
              <w:rPr>
                <w:noProof/>
                <w:webHidden/>
                <w:sz w:val="22"/>
                <w:szCs w:val="22"/>
              </w:rPr>
            </w:r>
            <w:r w:rsidRPr="00F57072">
              <w:rPr>
                <w:noProof/>
                <w:webHidden/>
                <w:sz w:val="22"/>
                <w:szCs w:val="22"/>
              </w:rPr>
              <w:fldChar w:fldCharType="separate"/>
            </w:r>
            <w:r w:rsidRPr="00F57072">
              <w:rPr>
                <w:noProof/>
                <w:webHidden/>
                <w:sz w:val="22"/>
                <w:szCs w:val="22"/>
              </w:rPr>
              <w:t>24</w:t>
            </w:r>
            <w:r w:rsidRPr="00F57072">
              <w:rPr>
                <w:noProof/>
                <w:webHidden/>
                <w:sz w:val="22"/>
                <w:szCs w:val="22"/>
              </w:rPr>
              <w:fldChar w:fldCharType="end"/>
            </w:r>
          </w:hyperlink>
        </w:p>
        <w:p w14:paraId="6DCC0E56" w14:textId="41AC0C10" w:rsidR="00E37C95" w:rsidRPr="00F57072" w:rsidRDefault="00E37C95">
          <w:pPr>
            <w:pStyle w:val="TOC1"/>
            <w:tabs>
              <w:tab w:val="right" w:leader="dot" w:pos="8210"/>
            </w:tabs>
            <w:rPr>
              <w:rFonts w:eastAsiaTheme="minorEastAsia"/>
              <w:noProof/>
              <w:sz w:val="22"/>
              <w:szCs w:val="22"/>
              <w:lang w:val="en-KE" w:eastAsia="en-KE"/>
            </w:rPr>
          </w:pPr>
          <w:hyperlink w:anchor="_Toc213772621" w:history="1">
            <w:r w:rsidRPr="00F57072">
              <w:rPr>
                <w:rStyle w:val="Hyperlink"/>
                <w:rFonts w:eastAsia="Times New Roman"/>
                <w:noProof/>
                <w:sz w:val="22"/>
                <w:szCs w:val="22"/>
                <w:lang w:eastAsia="en-KE"/>
              </w:rPr>
              <w:t>A TIERED ADOPTION ROADMAP</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_Toc213772621 \h </w:instrText>
            </w:r>
            <w:r w:rsidRPr="00F57072">
              <w:rPr>
                <w:noProof/>
                <w:webHidden/>
                <w:sz w:val="22"/>
                <w:szCs w:val="22"/>
              </w:rPr>
            </w:r>
            <w:r w:rsidRPr="00F57072">
              <w:rPr>
                <w:noProof/>
                <w:webHidden/>
                <w:sz w:val="22"/>
                <w:szCs w:val="22"/>
              </w:rPr>
              <w:fldChar w:fldCharType="separate"/>
            </w:r>
            <w:r w:rsidRPr="00F57072">
              <w:rPr>
                <w:noProof/>
                <w:webHidden/>
                <w:sz w:val="22"/>
                <w:szCs w:val="22"/>
              </w:rPr>
              <w:t>26</w:t>
            </w:r>
            <w:r w:rsidRPr="00F57072">
              <w:rPr>
                <w:noProof/>
                <w:webHidden/>
                <w:sz w:val="22"/>
                <w:szCs w:val="22"/>
              </w:rPr>
              <w:fldChar w:fldCharType="end"/>
            </w:r>
          </w:hyperlink>
        </w:p>
        <w:p w14:paraId="484EDC13" w14:textId="39F89E7D" w:rsidR="00E37C95" w:rsidRPr="00F57072" w:rsidRDefault="00E37C95">
          <w:pPr>
            <w:pStyle w:val="TOC2"/>
            <w:tabs>
              <w:tab w:val="right" w:leader="dot" w:pos="8210"/>
            </w:tabs>
            <w:rPr>
              <w:rFonts w:eastAsiaTheme="minorEastAsia"/>
              <w:noProof/>
              <w:sz w:val="22"/>
              <w:szCs w:val="22"/>
              <w:lang w:val="en-KE" w:eastAsia="en-KE"/>
            </w:rPr>
          </w:pPr>
          <w:hyperlink w:anchor="_Toc213772622" w:history="1">
            <w:r w:rsidRPr="00F57072">
              <w:rPr>
                <w:rStyle w:val="Hyperlink"/>
                <w:rFonts w:eastAsia="Times New Roman"/>
                <w:noProof/>
                <w:sz w:val="22"/>
                <w:szCs w:val="22"/>
                <w:lang w:eastAsia="en-KE"/>
              </w:rPr>
              <w:t>Purpose and Context</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_Toc213772622 \h </w:instrText>
            </w:r>
            <w:r w:rsidRPr="00F57072">
              <w:rPr>
                <w:noProof/>
                <w:webHidden/>
                <w:sz w:val="22"/>
                <w:szCs w:val="22"/>
              </w:rPr>
            </w:r>
            <w:r w:rsidRPr="00F57072">
              <w:rPr>
                <w:noProof/>
                <w:webHidden/>
                <w:sz w:val="22"/>
                <w:szCs w:val="22"/>
              </w:rPr>
              <w:fldChar w:fldCharType="separate"/>
            </w:r>
            <w:r w:rsidRPr="00F57072">
              <w:rPr>
                <w:noProof/>
                <w:webHidden/>
                <w:sz w:val="22"/>
                <w:szCs w:val="22"/>
              </w:rPr>
              <w:t>26</w:t>
            </w:r>
            <w:r w:rsidRPr="00F57072">
              <w:rPr>
                <w:noProof/>
                <w:webHidden/>
                <w:sz w:val="22"/>
                <w:szCs w:val="22"/>
              </w:rPr>
              <w:fldChar w:fldCharType="end"/>
            </w:r>
          </w:hyperlink>
        </w:p>
        <w:p w14:paraId="145D8EDC" w14:textId="19C6B7F5" w:rsidR="00E37C95" w:rsidRPr="00F57072" w:rsidRDefault="00E37C95">
          <w:pPr>
            <w:pStyle w:val="TOC2"/>
            <w:tabs>
              <w:tab w:val="right" w:leader="dot" w:pos="8210"/>
            </w:tabs>
            <w:rPr>
              <w:rFonts w:eastAsiaTheme="minorEastAsia"/>
              <w:noProof/>
              <w:sz w:val="22"/>
              <w:szCs w:val="22"/>
              <w:lang w:val="en-KE" w:eastAsia="en-KE"/>
            </w:rPr>
          </w:pPr>
          <w:hyperlink w:anchor="_Toc213772623" w:history="1">
            <w:r w:rsidRPr="00F57072">
              <w:rPr>
                <w:rStyle w:val="Hyperlink"/>
                <w:rFonts w:eastAsia="Times New Roman"/>
                <w:noProof/>
                <w:sz w:val="22"/>
                <w:szCs w:val="22"/>
                <w:lang w:eastAsia="en-KE"/>
              </w:rPr>
              <w:t>Tiers</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_Toc213772623 \h </w:instrText>
            </w:r>
            <w:r w:rsidRPr="00F57072">
              <w:rPr>
                <w:noProof/>
                <w:webHidden/>
                <w:sz w:val="22"/>
                <w:szCs w:val="22"/>
              </w:rPr>
            </w:r>
            <w:r w:rsidRPr="00F57072">
              <w:rPr>
                <w:noProof/>
                <w:webHidden/>
                <w:sz w:val="22"/>
                <w:szCs w:val="22"/>
              </w:rPr>
              <w:fldChar w:fldCharType="separate"/>
            </w:r>
            <w:r w:rsidRPr="00F57072">
              <w:rPr>
                <w:noProof/>
                <w:webHidden/>
                <w:sz w:val="22"/>
                <w:szCs w:val="22"/>
              </w:rPr>
              <w:t>26</w:t>
            </w:r>
            <w:r w:rsidRPr="00F57072">
              <w:rPr>
                <w:noProof/>
                <w:webHidden/>
                <w:sz w:val="22"/>
                <w:szCs w:val="22"/>
              </w:rPr>
              <w:fldChar w:fldCharType="end"/>
            </w:r>
          </w:hyperlink>
        </w:p>
        <w:p w14:paraId="643E4C1C" w14:textId="4C96555D" w:rsidR="00E37C95" w:rsidRPr="00F57072" w:rsidRDefault="00E37C95">
          <w:pPr>
            <w:pStyle w:val="TOC2"/>
            <w:tabs>
              <w:tab w:val="right" w:leader="dot" w:pos="8210"/>
            </w:tabs>
            <w:rPr>
              <w:rFonts w:eastAsiaTheme="minorEastAsia"/>
              <w:noProof/>
              <w:sz w:val="22"/>
              <w:szCs w:val="22"/>
              <w:lang w:val="en-KE" w:eastAsia="en-KE"/>
            </w:rPr>
          </w:pPr>
          <w:hyperlink w:anchor="_Toc213772624" w:history="1">
            <w:r w:rsidRPr="00F57072">
              <w:rPr>
                <w:rStyle w:val="Hyperlink"/>
                <w:rFonts w:eastAsia="Times New Roman"/>
                <w:noProof/>
                <w:sz w:val="22"/>
                <w:szCs w:val="22"/>
                <w:lang w:eastAsia="en-KE"/>
              </w:rPr>
              <w:t>Expected Outcomes:</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_Toc213772624 \h </w:instrText>
            </w:r>
            <w:r w:rsidRPr="00F57072">
              <w:rPr>
                <w:noProof/>
                <w:webHidden/>
                <w:sz w:val="22"/>
                <w:szCs w:val="22"/>
              </w:rPr>
            </w:r>
            <w:r w:rsidRPr="00F57072">
              <w:rPr>
                <w:noProof/>
                <w:webHidden/>
                <w:sz w:val="22"/>
                <w:szCs w:val="22"/>
              </w:rPr>
              <w:fldChar w:fldCharType="separate"/>
            </w:r>
            <w:r w:rsidRPr="00F57072">
              <w:rPr>
                <w:noProof/>
                <w:webHidden/>
                <w:sz w:val="22"/>
                <w:szCs w:val="22"/>
              </w:rPr>
              <w:t>28</w:t>
            </w:r>
            <w:r w:rsidRPr="00F57072">
              <w:rPr>
                <w:noProof/>
                <w:webHidden/>
                <w:sz w:val="22"/>
                <w:szCs w:val="22"/>
              </w:rPr>
              <w:fldChar w:fldCharType="end"/>
            </w:r>
          </w:hyperlink>
        </w:p>
        <w:p w14:paraId="44FAC53C" w14:textId="7956F896" w:rsidR="00E37C95" w:rsidRPr="00F57072" w:rsidRDefault="00E37C95">
          <w:pPr>
            <w:pStyle w:val="TOC1"/>
            <w:tabs>
              <w:tab w:val="right" w:leader="dot" w:pos="8210"/>
            </w:tabs>
            <w:rPr>
              <w:rFonts w:eastAsiaTheme="minorEastAsia"/>
              <w:noProof/>
              <w:sz w:val="22"/>
              <w:szCs w:val="22"/>
              <w:lang w:val="en-KE" w:eastAsia="en-KE"/>
            </w:rPr>
          </w:pPr>
          <w:hyperlink w:anchor="_Toc213772625" w:history="1">
            <w:r w:rsidRPr="00F57072">
              <w:rPr>
                <w:rStyle w:val="Hyperlink"/>
                <w:rFonts w:eastAsia="Times New Roman"/>
                <w:noProof/>
                <w:sz w:val="22"/>
                <w:szCs w:val="22"/>
                <w:lang w:val="en-KE" w:eastAsia="en-KE"/>
              </w:rPr>
              <w:t>POLICY &amp; REGULATORY RECOMMENDATIONS</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_Toc213772625 \h </w:instrText>
            </w:r>
            <w:r w:rsidRPr="00F57072">
              <w:rPr>
                <w:noProof/>
                <w:webHidden/>
                <w:sz w:val="22"/>
                <w:szCs w:val="22"/>
              </w:rPr>
            </w:r>
            <w:r w:rsidRPr="00F57072">
              <w:rPr>
                <w:noProof/>
                <w:webHidden/>
                <w:sz w:val="22"/>
                <w:szCs w:val="22"/>
              </w:rPr>
              <w:fldChar w:fldCharType="separate"/>
            </w:r>
            <w:r w:rsidRPr="00F57072">
              <w:rPr>
                <w:noProof/>
                <w:webHidden/>
                <w:sz w:val="22"/>
                <w:szCs w:val="22"/>
              </w:rPr>
              <w:t>29</w:t>
            </w:r>
            <w:r w:rsidRPr="00F57072">
              <w:rPr>
                <w:noProof/>
                <w:webHidden/>
                <w:sz w:val="22"/>
                <w:szCs w:val="22"/>
              </w:rPr>
              <w:fldChar w:fldCharType="end"/>
            </w:r>
          </w:hyperlink>
        </w:p>
        <w:p w14:paraId="636D5A53" w14:textId="39E9F20E" w:rsidR="00E37C95" w:rsidRPr="00F57072" w:rsidRDefault="00E37C95">
          <w:pPr>
            <w:pStyle w:val="TOC2"/>
            <w:tabs>
              <w:tab w:val="right" w:leader="dot" w:pos="8210"/>
            </w:tabs>
            <w:rPr>
              <w:rFonts w:eastAsiaTheme="minorEastAsia"/>
              <w:noProof/>
              <w:sz w:val="22"/>
              <w:szCs w:val="22"/>
              <w:lang w:val="en-KE" w:eastAsia="en-KE"/>
            </w:rPr>
          </w:pPr>
          <w:hyperlink w:anchor="_Toc213772626" w:history="1">
            <w:r w:rsidRPr="00F57072">
              <w:rPr>
                <w:rStyle w:val="Hyperlink"/>
                <w:rFonts w:eastAsia="Times New Roman"/>
                <w:noProof/>
                <w:sz w:val="22"/>
                <w:szCs w:val="22"/>
                <w:lang w:val="en-KE" w:eastAsia="en-KE"/>
              </w:rPr>
              <w:t>Policy Reforms</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_Toc213772626 \h </w:instrText>
            </w:r>
            <w:r w:rsidRPr="00F57072">
              <w:rPr>
                <w:noProof/>
                <w:webHidden/>
                <w:sz w:val="22"/>
                <w:szCs w:val="22"/>
              </w:rPr>
            </w:r>
            <w:r w:rsidRPr="00F57072">
              <w:rPr>
                <w:noProof/>
                <w:webHidden/>
                <w:sz w:val="22"/>
                <w:szCs w:val="22"/>
              </w:rPr>
              <w:fldChar w:fldCharType="separate"/>
            </w:r>
            <w:r w:rsidRPr="00F57072">
              <w:rPr>
                <w:noProof/>
                <w:webHidden/>
                <w:sz w:val="22"/>
                <w:szCs w:val="22"/>
              </w:rPr>
              <w:t>29</w:t>
            </w:r>
            <w:r w:rsidRPr="00F57072">
              <w:rPr>
                <w:noProof/>
                <w:webHidden/>
                <w:sz w:val="22"/>
                <w:szCs w:val="22"/>
              </w:rPr>
              <w:fldChar w:fldCharType="end"/>
            </w:r>
          </w:hyperlink>
        </w:p>
        <w:p w14:paraId="752EFF96" w14:textId="6481B1AD" w:rsidR="00E37C95" w:rsidRPr="00F57072" w:rsidRDefault="00E37C95">
          <w:pPr>
            <w:pStyle w:val="TOC2"/>
            <w:tabs>
              <w:tab w:val="right" w:leader="dot" w:pos="8210"/>
            </w:tabs>
            <w:rPr>
              <w:rFonts w:eastAsiaTheme="minorEastAsia"/>
              <w:noProof/>
              <w:sz w:val="22"/>
              <w:szCs w:val="22"/>
              <w:lang w:val="en-KE" w:eastAsia="en-KE"/>
            </w:rPr>
          </w:pPr>
          <w:hyperlink w:anchor="_Toc213772627" w:history="1">
            <w:r w:rsidRPr="00F57072">
              <w:rPr>
                <w:rStyle w:val="Hyperlink"/>
                <w:rFonts w:eastAsia="Times New Roman"/>
                <w:noProof/>
                <w:sz w:val="22"/>
                <w:szCs w:val="22"/>
                <w:lang w:val="en-KE" w:eastAsia="en-KE"/>
              </w:rPr>
              <w:t>Harmonization</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_Toc213772627 \h </w:instrText>
            </w:r>
            <w:r w:rsidRPr="00F57072">
              <w:rPr>
                <w:noProof/>
                <w:webHidden/>
                <w:sz w:val="22"/>
                <w:szCs w:val="22"/>
              </w:rPr>
            </w:r>
            <w:r w:rsidRPr="00F57072">
              <w:rPr>
                <w:noProof/>
                <w:webHidden/>
                <w:sz w:val="22"/>
                <w:szCs w:val="22"/>
              </w:rPr>
              <w:fldChar w:fldCharType="separate"/>
            </w:r>
            <w:r w:rsidRPr="00F57072">
              <w:rPr>
                <w:noProof/>
                <w:webHidden/>
                <w:sz w:val="22"/>
                <w:szCs w:val="22"/>
              </w:rPr>
              <w:t>30</w:t>
            </w:r>
            <w:r w:rsidRPr="00F57072">
              <w:rPr>
                <w:noProof/>
                <w:webHidden/>
                <w:sz w:val="22"/>
                <w:szCs w:val="22"/>
              </w:rPr>
              <w:fldChar w:fldCharType="end"/>
            </w:r>
          </w:hyperlink>
        </w:p>
        <w:p w14:paraId="27100ABD" w14:textId="734A2B49" w:rsidR="00E37C95" w:rsidRPr="00F57072" w:rsidRDefault="00E37C95">
          <w:pPr>
            <w:pStyle w:val="TOC1"/>
            <w:tabs>
              <w:tab w:val="right" w:leader="dot" w:pos="8210"/>
            </w:tabs>
            <w:rPr>
              <w:rFonts w:eastAsiaTheme="minorEastAsia"/>
              <w:noProof/>
              <w:sz w:val="22"/>
              <w:szCs w:val="22"/>
              <w:lang w:val="en-KE" w:eastAsia="en-KE"/>
            </w:rPr>
          </w:pPr>
          <w:hyperlink w:anchor="_Toc213772628" w:history="1">
            <w:r w:rsidRPr="00F57072">
              <w:rPr>
                <w:rStyle w:val="Hyperlink"/>
                <w:rFonts w:eastAsia="Times New Roman"/>
                <w:noProof/>
                <w:sz w:val="22"/>
                <w:szCs w:val="22"/>
                <w:lang w:val="en-KE" w:eastAsia="en-KE"/>
              </w:rPr>
              <w:t>CONCLUSION</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_Toc213772628 \h </w:instrText>
            </w:r>
            <w:r w:rsidRPr="00F57072">
              <w:rPr>
                <w:noProof/>
                <w:webHidden/>
                <w:sz w:val="22"/>
                <w:szCs w:val="22"/>
              </w:rPr>
            </w:r>
            <w:r w:rsidRPr="00F57072">
              <w:rPr>
                <w:noProof/>
                <w:webHidden/>
                <w:sz w:val="22"/>
                <w:szCs w:val="22"/>
              </w:rPr>
              <w:fldChar w:fldCharType="separate"/>
            </w:r>
            <w:r w:rsidRPr="00F57072">
              <w:rPr>
                <w:noProof/>
                <w:webHidden/>
                <w:sz w:val="22"/>
                <w:szCs w:val="22"/>
              </w:rPr>
              <w:t>32</w:t>
            </w:r>
            <w:r w:rsidRPr="00F57072">
              <w:rPr>
                <w:noProof/>
                <w:webHidden/>
                <w:sz w:val="22"/>
                <w:szCs w:val="22"/>
              </w:rPr>
              <w:fldChar w:fldCharType="end"/>
            </w:r>
          </w:hyperlink>
        </w:p>
        <w:p w14:paraId="2D78C835" w14:textId="5C0562EC" w:rsidR="00E37C95" w:rsidRPr="00F57072" w:rsidRDefault="00E37C95">
          <w:pPr>
            <w:pStyle w:val="TOC2"/>
            <w:tabs>
              <w:tab w:val="right" w:leader="dot" w:pos="8210"/>
            </w:tabs>
            <w:rPr>
              <w:rFonts w:eastAsiaTheme="minorEastAsia"/>
              <w:noProof/>
              <w:sz w:val="22"/>
              <w:szCs w:val="22"/>
              <w:lang w:val="en-KE" w:eastAsia="en-KE"/>
            </w:rPr>
          </w:pPr>
          <w:hyperlink w:anchor="_Toc213772629" w:history="1">
            <w:r w:rsidRPr="00F57072">
              <w:rPr>
                <w:rStyle w:val="Hyperlink"/>
                <w:rFonts w:eastAsia="Times New Roman"/>
                <w:noProof/>
                <w:sz w:val="22"/>
                <w:szCs w:val="22"/>
                <w:lang w:val="en-KE" w:eastAsia="en-KE"/>
              </w:rPr>
              <w:t>Summary of Contributions</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_Toc213772629 \h </w:instrText>
            </w:r>
            <w:r w:rsidRPr="00F57072">
              <w:rPr>
                <w:noProof/>
                <w:webHidden/>
                <w:sz w:val="22"/>
                <w:szCs w:val="22"/>
              </w:rPr>
            </w:r>
            <w:r w:rsidRPr="00F57072">
              <w:rPr>
                <w:noProof/>
                <w:webHidden/>
                <w:sz w:val="22"/>
                <w:szCs w:val="22"/>
              </w:rPr>
              <w:fldChar w:fldCharType="separate"/>
            </w:r>
            <w:r w:rsidRPr="00F57072">
              <w:rPr>
                <w:noProof/>
                <w:webHidden/>
                <w:sz w:val="22"/>
                <w:szCs w:val="22"/>
              </w:rPr>
              <w:t>32</w:t>
            </w:r>
            <w:r w:rsidRPr="00F57072">
              <w:rPr>
                <w:noProof/>
                <w:webHidden/>
                <w:sz w:val="22"/>
                <w:szCs w:val="22"/>
              </w:rPr>
              <w:fldChar w:fldCharType="end"/>
            </w:r>
          </w:hyperlink>
        </w:p>
        <w:p w14:paraId="0DA5610A" w14:textId="7C6D3A2C" w:rsidR="00E37C95" w:rsidRPr="00F57072" w:rsidRDefault="00E37C95">
          <w:pPr>
            <w:pStyle w:val="TOC2"/>
            <w:tabs>
              <w:tab w:val="right" w:leader="dot" w:pos="8210"/>
            </w:tabs>
            <w:rPr>
              <w:rFonts w:eastAsiaTheme="minorEastAsia"/>
              <w:noProof/>
              <w:sz w:val="22"/>
              <w:szCs w:val="22"/>
              <w:lang w:val="en-KE" w:eastAsia="en-KE"/>
            </w:rPr>
          </w:pPr>
          <w:hyperlink w:anchor="_Toc213772630" w:history="1">
            <w:r w:rsidRPr="00F57072">
              <w:rPr>
                <w:rStyle w:val="Hyperlink"/>
                <w:rFonts w:eastAsia="Times New Roman"/>
                <w:noProof/>
                <w:sz w:val="22"/>
                <w:szCs w:val="22"/>
                <w:lang w:val="en-KE" w:eastAsia="en-KE"/>
              </w:rPr>
              <w:t>Implications for Africa’s Digital Sovereignty</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_Toc213772630 \h </w:instrText>
            </w:r>
            <w:r w:rsidRPr="00F57072">
              <w:rPr>
                <w:noProof/>
                <w:webHidden/>
                <w:sz w:val="22"/>
                <w:szCs w:val="22"/>
              </w:rPr>
            </w:r>
            <w:r w:rsidRPr="00F57072">
              <w:rPr>
                <w:noProof/>
                <w:webHidden/>
                <w:sz w:val="22"/>
                <w:szCs w:val="22"/>
              </w:rPr>
              <w:fldChar w:fldCharType="separate"/>
            </w:r>
            <w:r w:rsidRPr="00F57072">
              <w:rPr>
                <w:noProof/>
                <w:webHidden/>
                <w:sz w:val="22"/>
                <w:szCs w:val="22"/>
              </w:rPr>
              <w:t>33</w:t>
            </w:r>
            <w:r w:rsidRPr="00F57072">
              <w:rPr>
                <w:noProof/>
                <w:webHidden/>
                <w:sz w:val="22"/>
                <w:szCs w:val="22"/>
              </w:rPr>
              <w:fldChar w:fldCharType="end"/>
            </w:r>
          </w:hyperlink>
        </w:p>
        <w:p w14:paraId="1C887090" w14:textId="75F1FE33" w:rsidR="00E37C95" w:rsidRPr="00F57072" w:rsidRDefault="00E37C95">
          <w:pPr>
            <w:pStyle w:val="TOC1"/>
            <w:tabs>
              <w:tab w:val="right" w:leader="dot" w:pos="8210"/>
            </w:tabs>
            <w:rPr>
              <w:rFonts w:eastAsiaTheme="minorEastAsia"/>
              <w:noProof/>
              <w:sz w:val="22"/>
              <w:szCs w:val="22"/>
              <w:lang w:val="en-KE" w:eastAsia="en-KE"/>
            </w:rPr>
          </w:pPr>
          <w:hyperlink w:anchor="_Toc213772631" w:history="1">
            <w:r w:rsidRPr="00F57072">
              <w:rPr>
                <w:rStyle w:val="Hyperlink"/>
                <w:rFonts w:ascii="Calibri" w:hAnsi="Calibri" w:cs="Calibri"/>
                <w:noProof/>
                <w:sz w:val="22"/>
                <w:szCs w:val="22"/>
              </w:rPr>
              <w:t>REFERENCES</w:t>
            </w:r>
            <w:r w:rsidRPr="00F57072">
              <w:rPr>
                <w:noProof/>
                <w:webHidden/>
                <w:sz w:val="22"/>
                <w:szCs w:val="22"/>
              </w:rPr>
              <w:tab/>
            </w:r>
            <w:r w:rsidRPr="00F57072">
              <w:rPr>
                <w:noProof/>
                <w:webHidden/>
                <w:sz w:val="22"/>
                <w:szCs w:val="22"/>
              </w:rPr>
              <w:fldChar w:fldCharType="begin"/>
            </w:r>
            <w:r w:rsidRPr="00F57072">
              <w:rPr>
                <w:noProof/>
                <w:webHidden/>
                <w:sz w:val="22"/>
                <w:szCs w:val="22"/>
              </w:rPr>
              <w:instrText xml:space="preserve"> PAGEREF _Toc213772631 \h </w:instrText>
            </w:r>
            <w:r w:rsidRPr="00F57072">
              <w:rPr>
                <w:noProof/>
                <w:webHidden/>
                <w:sz w:val="22"/>
                <w:szCs w:val="22"/>
              </w:rPr>
            </w:r>
            <w:r w:rsidRPr="00F57072">
              <w:rPr>
                <w:noProof/>
                <w:webHidden/>
                <w:sz w:val="22"/>
                <w:szCs w:val="22"/>
              </w:rPr>
              <w:fldChar w:fldCharType="separate"/>
            </w:r>
            <w:r w:rsidRPr="00F57072">
              <w:rPr>
                <w:noProof/>
                <w:webHidden/>
                <w:sz w:val="22"/>
                <w:szCs w:val="22"/>
              </w:rPr>
              <w:t>34</w:t>
            </w:r>
            <w:r w:rsidRPr="00F57072">
              <w:rPr>
                <w:noProof/>
                <w:webHidden/>
                <w:sz w:val="22"/>
                <w:szCs w:val="22"/>
              </w:rPr>
              <w:fldChar w:fldCharType="end"/>
            </w:r>
          </w:hyperlink>
        </w:p>
        <w:p w14:paraId="33781960" w14:textId="3952F312" w:rsidR="009C24E9" w:rsidRDefault="009C24E9">
          <w:r w:rsidRPr="00F57072">
            <w:rPr>
              <w:b/>
              <w:bCs/>
              <w:noProof/>
              <w:sz w:val="22"/>
              <w:szCs w:val="22"/>
            </w:rPr>
            <w:fldChar w:fldCharType="end"/>
          </w:r>
        </w:p>
      </w:sdtContent>
    </w:sdt>
    <w:p w14:paraId="25185087" w14:textId="006388AE" w:rsidR="00F16643" w:rsidRDefault="00F16643">
      <w:pPr>
        <w:rPr>
          <w:rFonts w:ascii="Calibri" w:eastAsia="Times New Roman" w:hAnsi="Calibri" w:cs="Calibri"/>
          <w:b/>
          <w:bCs/>
          <w:kern w:val="0"/>
          <w:lang w:eastAsia="en-KE"/>
          <w14:ligatures w14:val="none"/>
        </w:rPr>
      </w:pPr>
    </w:p>
    <w:p w14:paraId="330FA400" w14:textId="29A26313" w:rsidR="00EB2AEA" w:rsidRPr="00EB2AEA" w:rsidRDefault="00EB2AEA" w:rsidP="00EB2AEA">
      <w:pPr>
        <w:jc w:val="center"/>
        <w:rPr>
          <w:sz w:val="40"/>
          <w:szCs w:val="40"/>
          <w:lang w:eastAsia="en-KE"/>
        </w:rPr>
      </w:pPr>
      <w:bookmarkStart w:id="1" w:name="_Toc213772603"/>
      <w:r w:rsidRPr="00F57072">
        <w:rPr>
          <w:sz w:val="40"/>
          <w:szCs w:val="40"/>
          <w:lang w:eastAsia="en-KE"/>
        </w:rPr>
        <w:t>Security and Resilience in Data Systems: A Resilience-by-Design Paradigm for Africa’s Digital Economy</w:t>
      </w:r>
    </w:p>
    <w:p w14:paraId="22DABCFC" w14:textId="3BDD4793" w:rsidR="00436AA4" w:rsidRPr="00F16643" w:rsidRDefault="00F16643" w:rsidP="00F16643">
      <w:pPr>
        <w:pStyle w:val="Heading1"/>
        <w:jc w:val="center"/>
        <w:rPr>
          <w:rFonts w:eastAsia="Times New Roman"/>
          <w:sz w:val="32"/>
          <w:szCs w:val="32"/>
          <w:lang w:eastAsia="en-KE"/>
        </w:rPr>
      </w:pPr>
      <w:r>
        <w:rPr>
          <w:rFonts w:eastAsia="Times New Roman"/>
          <w:sz w:val="32"/>
          <w:szCs w:val="32"/>
          <w:lang w:eastAsia="en-KE"/>
        </w:rPr>
        <w:t>INTRODUCTION</w:t>
      </w:r>
      <w:bookmarkEnd w:id="1"/>
    </w:p>
    <w:p w14:paraId="3C90C93E" w14:textId="392D7E0C" w:rsidR="00436AA4" w:rsidRPr="004C1335" w:rsidRDefault="00436AA4" w:rsidP="00436AA4">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The rapid growth of digital technologies in Africa has transformed the continent’s economic, social and governance landscapes. According to the World Bank’s </w:t>
      </w:r>
      <w:r w:rsidRPr="004C1335">
        <w:rPr>
          <w:rFonts w:ascii="Calibri" w:eastAsia="Times New Roman" w:hAnsi="Calibri" w:cs="Calibri"/>
          <w:i/>
          <w:iCs/>
          <w:kern w:val="0"/>
          <w:lang w:eastAsia="en-KE"/>
          <w14:ligatures w14:val="none"/>
        </w:rPr>
        <w:t>Digital Economy for Africa</w:t>
      </w:r>
      <w:r w:rsidRPr="004C1335">
        <w:rPr>
          <w:rFonts w:ascii="Calibri" w:eastAsia="Times New Roman" w:hAnsi="Calibri" w:cs="Calibri"/>
          <w:kern w:val="0"/>
          <w:lang w:eastAsia="en-KE"/>
          <w14:ligatures w14:val="none"/>
        </w:rPr>
        <w:t xml:space="preserve"> diagnostics, digital businesses and services are expanding rapidly, but so too are the institutional and legal challenges of protecting consumer rights, privacy and cybersecurity</w:t>
      </w:r>
      <w:sdt>
        <w:sdtPr>
          <w:rPr>
            <w:rFonts w:ascii="Calibri" w:eastAsia="Times New Roman" w:hAnsi="Calibri" w:cs="Calibri"/>
            <w:kern w:val="0"/>
            <w:lang w:eastAsia="en-KE"/>
            <w14:ligatures w14:val="none"/>
          </w:rPr>
          <w:id w:val="2005702858"/>
          <w:citation/>
        </w:sdtPr>
        <w:sdtContent>
          <w:r w:rsidR="00151901" w:rsidRPr="004C1335">
            <w:rPr>
              <w:rFonts w:ascii="Calibri" w:eastAsia="Times New Roman" w:hAnsi="Calibri" w:cs="Calibri"/>
              <w:kern w:val="0"/>
              <w:lang w:eastAsia="en-KE"/>
              <w14:ligatures w14:val="none"/>
            </w:rPr>
            <w:fldChar w:fldCharType="begin"/>
          </w:r>
          <w:r w:rsidR="00151901" w:rsidRPr="004C1335">
            <w:rPr>
              <w:rFonts w:ascii="Calibri" w:eastAsia="Times New Roman" w:hAnsi="Calibri" w:cs="Calibri"/>
              <w:kern w:val="0"/>
              <w:lang w:val="en-US" w:eastAsia="en-KE"/>
              <w14:ligatures w14:val="none"/>
            </w:rPr>
            <w:instrText xml:space="preserve"> CITATION The22 \l 1033 </w:instrText>
          </w:r>
          <w:r w:rsidR="00151901" w:rsidRPr="004C1335">
            <w:rPr>
              <w:rFonts w:ascii="Calibri" w:eastAsia="Times New Roman" w:hAnsi="Calibri" w:cs="Calibri"/>
              <w:kern w:val="0"/>
              <w:lang w:eastAsia="en-KE"/>
              <w14:ligatures w14:val="none"/>
            </w:rPr>
            <w:fldChar w:fldCharType="separate"/>
          </w:r>
          <w:r w:rsidR="00151901" w:rsidRPr="004C1335">
            <w:rPr>
              <w:rFonts w:ascii="Calibri" w:eastAsia="Times New Roman" w:hAnsi="Calibri" w:cs="Calibri"/>
              <w:noProof/>
              <w:kern w:val="0"/>
              <w:lang w:val="en-US" w:eastAsia="en-KE"/>
              <w14:ligatures w14:val="none"/>
            </w:rPr>
            <w:t xml:space="preserve"> (The World Bank Group, 2022)</w:t>
          </w:r>
          <w:r w:rsidR="00151901" w:rsidRPr="004C1335">
            <w:rPr>
              <w:rFonts w:ascii="Calibri" w:eastAsia="Times New Roman" w:hAnsi="Calibri" w:cs="Calibri"/>
              <w:kern w:val="0"/>
              <w:lang w:eastAsia="en-KE"/>
              <w14:ligatures w14:val="none"/>
            </w:rPr>
            <w:fldChar w:fldCharType="end"/>
          </w:r>
        </w:sdtContent>
      </w:sdt>
      <w:r w:rsidR="00151901"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As African nations embrace connectivity, cloud platforms and data‐driven services, the resilience of data systems becomes as important as their security.</w:t>
      </w:r>
    </w:p>
    <w:p w14:paraId="1985241F" w14:textId="29493217" w:rsidR="00436AA4" w:rsidRPr="004C1335" w:rsidRDefault="00436AA4" w:rsidP="00436AA4">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In Kenya and across the region, frameworks such as the Data Protection Act (Kenya) 2019 </w:t>
      </w:r>
      <w:sdt>
        <w:sdtPr>
          <w:rPr>
            <w:rFonts w:ascii="Calibri" w:eastAsia="Times New Roman" w:hAnsi="Calibri" w:cs="Calibri"/>
            <w:kern w:val="0"/>
            <w:lang w:eastAsia="en-KE"/>
            <w14:ligatures w14:val="none"/>
          </w:rPr>
          <w:id w:val="-496952348"/>
          <w:citation/>
        </w:sdtPr>
        <w:sdtContent>
          <w:r w:rsidR="00151901" w:rsidRPr="004C1335">
            <w:rPr>
              <w:rFonts w:ascii="Calibri" w:eastAsia="Times New Roman" w:hAnsi="Calibri" w:cs="Calibri"/>
              <w:kern w:val="0"/>
              <w:lang w:eastAsia="en-KE"/>
              <w14:ligatures w14:val="none"/>
            </w:rPr>
            <w:fldChar w:fldCharType="begin"/>
          </w:r>
          <w:r w:rsidR="00151901" w:rsidRPr="004C1335">
            <w:rPr>
              <w:rFonts w:ascii="Calibri" w:eastAsia="Times New Roman" w:hAnsi="Calibri" w:cs="Calibri"/>
              <w:kern w:val="0"/>
              <w:lang w:val="en-US" w:eastAsia="en-KE"/>
              <w14:ligatures w14:val="none"/>
            </w:rPr>
            <w:instrText xml:space="preserve"> CITATION The19 \l 1033 </w:instrText>
          </w:r>
          <w:r w:rsidR="00151901" w:rsidRPr="004C1335">
            <w:rPr>
              <w:rFonts w:ascii="Calibri" w:eastAsia="Times New Roman" w:hAnsi="Calibri" w:cs="Calibri"/>
              <w:kern w:val="0"/>
              <w:lang w:eastAsia="en-KE"/>
              <w14:ligatures w14:val="none"/>
            </w:rPr>
            <w:fldChar w:fldCharType="separate"/>
          </w:r>
          <w:r w:rsidR="00151901" w:rsidRPr="004C1335">
            <w:rPr>
              <w:rFonts w:ascii="Calibri" w:eastAsia="Times New Roman" w:hAnsi="Calibri" w:cs="Calibri"/>
              <w:noProof/>
              <w:kern w:val="0"/>
              <w:lang w:val="en-US" w:eastAsia="en-KE"/>
              <w14:ligatures w14:val="none"/>
            </w:rPr>
            <w:t>(Kenya, 2019)</w:t>
          </w:r>
          <w:r w:rsidR="00151901" w:rsidRPr="004C1335">
            <w:rPr>
              <w:rFonts w:ascii="Calibri" w:eastAsia="Times New Roman" w:hAnsi="Calibri" w:cs="Calibri"/>
              <w:kern w:val="0"/>
              <w:lang w:eastAsia="en-KE"/>
              <w14:ligatures w14:val="none"/>
            </w:rPr>
            <w:fldChar w:fldCharType="end"/>
          </w:r>
        </w:sdtContent>
      </w:sdt>
      <w:r w:rsidR="00151901"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have advanced personal data protections and regulatory compliance. At the continental level, the African Union Convention on Cyber Security and Personal Data Protection (commonly “Malabo Convention”)</w:t>
      </w:r>
      <w:r w:rsidR="00C97E1D" w:rsidRPr="004C1335">
        <w:rPr>
          <w:rFonts w:ascii="Calibri" w:eastAsia="Times New Roman" w:hAnsi="Calibri" w:cs="Calibri"/>
          <w:kern w:val="0"/>
          <w:lang w:eastAsia="en-KE"/>
          <w14:ligatures w14:val="none"/>
        </w:rPr>
        <w:t xml:space="preserve"> </w:t>
      </w:r>
      <w:sdt>
        <w:sdtPr>
          <w:rPr>
            <w:rFonts w:ascii="Calibri" w:eastAsia="Times New Roman" w:hAnsi="Calibri" w:cs="Calibri"/>
            <w:kern w:val="0"/>
            <w:lang w:eastAsia="en-KE"/>
            <w14:ligatures w14:val="none"/>
          </w:rPr>
          <w:id w:val="-1262445146"/>
          <w:citation/>
        </w:sdtPr>
        <w:sdtContent>
          <w:r w:rsidR="00C97E1D" w:rsidRPr="004C1335">
            <w:rPr>
              <w:rFonts w:ascii="Calibri" w:eastAsia="Times New Roman" w:hAnsi="Calibri" w:cs="Calibri"/>
              <w:kern w:val="0"/>
              <w:lang w:eastAsia="en-KE"/>
              <w14:ligatures w14:val="none"/>
            </w:rPr>
            <w:fldChar w:fldCharType="begin"/>
          </w:r>
          <w:r w:rsidR="00C97E1D" w:rsidRPr="004C1335">
            <w:rPr>
              <w:rFonts w:ascii="Calibri" w:eastAsia="Times New Roman" w:hAnsi="Calibri" w:cs="Calibri"/>
              <w:kern w:val="0"/>
              <w:lang w:val="en-US" w:eastAsia="en-KE"/>
              <w14:ligatures w14:val="none"/>
            </w:rPr>
            <w:instrText xml:space="preserve"> CITATION Afr14 \l 1033 </w:instrText>
          </w:r>
          <w:r w:rsidR="00C97E1D" w:rsidRPr="004C1335">
            <w:rPr>
              <w:rFonts w:ascii="Calibri" w:eastAsia="Times New Roman" w:hAnsi="Calibri" w:cs="Calibri"/>
              <w:kern w:val="0"/>
              <w:lang w:eastAsia="en-KE"/>
              <w14:ligatures w14:val="none"/>
            </w:rPr>
            <w:fldChar w:fldCharType="separate"/>
          </w:r>
          <w:r w:rsidR="00C97E1D" w:rsidRPr="004C1335">
            <w:rPr>
              <w:rFonts w:ascii="Calibri" w:eastAsia="Times New Roman" w:hAnsi="Calibri" w:cs="Calibri"/>
              <w:noProof/>
              <w:kern w:val="0"/>
              <w:lang w:val="en-US" w:eastAsia="en-KE"/>
              <w14:ligatures w14:val="none"/>
            </w:rPr>
            <w:t>(Union, 2014)</w:t>
          </w:r>
          <w:r w:rsidR="00C97E1D" w:rsidRPr="004C1335">
            <w:rPr>
              <w:rFonts w:ascii="Calibri" w:eastAsia="Times New Roman" w:hAnsi="Calibri" w:cs="Calibri"/>
              <w:kern w:val="0"/>
              <w:lang w:eastAsia="en-KE"/>
              <w14:ligatures w14:val="none"/>
            </w:rPr>
            <w:fldChar w:fldCharType="end"/>
          </w:r>
        </w:sdtContent>
      </w:sdt>
      <w:r w:rsidR="00C97E1D" w:rsidRPr="004C1335">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provides a pan‐African normative framework.</w:t>
      </w:r>
      <w:r w:rsidR="002E3698"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However, these regulatory regimes largely emphasise breach prevention, privacy rights and service provider accountability. They are less well equipped to ensure continuity of services and systemic resilience in the face of disruptions such as cyber-attacks, infrastructure failure or power outages.</w:t>
      </w:r>
    </w:p>
    <w:p w14:paraId="31255AA2" w14:textId="38F8E86E" w:rsidR="00EB2AEA" w:rsidRDefault="00436AA4" w:rsidP="00436AA4">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This gap is critically important: Africa’s digital economy depends not just on the flow of data, but on the trust, reliability and continuous functioning of data systems. For example, recent surveys in East Africa show that 74 % of businesses now place cyber risks at the top of their agenda, acknowledging that resilience is part of the business imperative. </w:t>
      </w:r>
      <w:sdt>
        <w:sdtPr>
          <w:rPr>
            <w:rFonts w:ascii="Calibri" w:eastAsia="Times New Roman" w:hAnsi="Calibri" w:cs="Calibri"/>
            <w:kern w:val="0"/>
            <w:lang w:eastAsia="en-KE"/>
            <w14:ligatures w14:val="none"/>
          </w:rPr>
          <w:id w:val="-1020388955"/>
          <w:citation/>
        </w:sdtPr>
        <w:sdtContent>
          <w:r w:rsidR="002E3698" w:rsidRPr="004C1335">
            <w:rPr>
              <w:rFonts w:ascii="Calibri" w:eastAsia="Times New Roman" w:hAnsi="Calibri" w:cs="Calibri"/>
              <w:kern w:val="0"/>
              <w:lang w:eastAsia="en-KE"/>
              <w14:ligatures w14:val="none"/>
            </w:rPr>
            <w:fldChar w:fldCharType="begin"/>
          </w:r>
          <w:r w:rsidR="002E3698" w:rsidRPr="004C1335">
            <w:rPr>
              <w:rFonts w:ascii="Calibri" w:eastAsia="Times New Roman" w:hAnsi="Calibri" w:cs="Calibri"/>
              <w:kern w:val="0"/>
              <w:lang w:val="en-US" w:eastAsia="en-KE"/>
              <w14:ligatures w14:val="none"/>
            </w:rPr>
            <w:instrText xml:space="preserve"> CITATION Pri24 \l 1033 </w:instrText>
          </w:r>
          <w:r w:rsidR="002E3698" w:rsidRPr="004C1335">
            <w:rPr>
              <w:rFonts w:ascii="Calibri" w:eastAsia="Times New Roman" w:hAnsi="Calibri" w:cs="Calibri"/>
              <w:kern w:val="0"/>
              <w:lang w:eastAsia="en-KE"/>
              <w14:ligatures w14:val="none"/>
            </w:rPr>
            <w:fldChar w:fldCharType="separate"/>
          </w:r>
          <w:r w:rsidR="002E3698" w:rsidRPr="004C1335">
            <w:rPr>
              <w:rFonts w:ascii="Calibri" w:eastAsia="Times New Roman" w:hAnsi="Calibri" w:cs="Calibri"/>
              <w:noProof/>
              <w:kern w:val="0"/>
              <w:lang w:val="en-US" w:eastAsia="en-KE"/>
              <w14:ligatures w14:val="none"/>
            </w:rPr>
            <w:t>(PricewaterhouseCoopers (PwC) Kenya, 2024)</w:t>
          </w:r>
          <w:r w:rsidR="002E3698" w:rsidRPr="004C1335">
            <w:rPr>
              <w:rFonts w:ascii="Calibri" w:eastAsia="Times New Roman" w:hAnsi="Calibri" w:cs="Calibri"/>
              <w:kern w:val="0"/>
              <w:lang w:eastAsia="en-KE"/>
              <w14:ligatures w14:val="none"/>
            </w:rPr>
            <w:fldChar w:fldCharType="end"/>
          </w:r>
        </w:sdtContent>
      </w:sdt>
      <w:r w:rsidR="002E3698"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When data systems falter, the consequences cascade</w:t>
      </w:r>
      <w:r w:rsidR="002E3698"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impacting financial services, e-governance, health systems and cross‐border trade. Yet, resilience remains under-theorised and under-regulated.</w:t>
      </w:r>
      <w:r w:rsidR="00533E16">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The objective of this article is three‐fold. First, it reframes resilience as a measurable complement to security</w:t>
      </w:r>
      <w:r w:rsidR="00784F4F">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rather than an afterthought. Second, it proposes a </w:t>
      </w:r>
      <w:r w:rsidRPr="004C1335">
        <w:rPr>
          <w:rFonts w:ascii="Calibri" w:eastAsia="Times New Roman" w:hAnsi="Calibri" w:cs="Calibri"/>
          <w:i/>
          <w:iCs/>
          <w:kern w:val="0"/>
          <w:lang w:eastAsia="en-KE"/>
          <w14:ligatures w14:val="none"/>
        </w:rPr>
        <w:t>Resilience-by-Design</w:t>
      </w:r>
      <w:r w:rsidRPr="004C1335">
        <w:rPr>
          <w:rFonts w:ascii="Calibri" w:eastAsia="Times New Roman" w:hAnsi="Calibri" w:cs="Calibri"/>
          <w:kern w:val="0"/>
          <w:lang w:eastAsia="en-KE"/>
          <w14:ligatures w14:val="none"/>
        </w:rPr>
        <w:t xml:space="preserve"> paradigm that embeds resilience across design, operational and governance layers of data systems. Third, it presents a tiered roadmap and policy‐reform agenda to harmonise resilience obligations within African data-protection regimes and infrastructure contexts.</w:t>
      </w:r>
      <w:r w:rsidR="00EB2AEA">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To achieve these ends the paper proceeds as follows. Section 2 presents the theoretical and conceptual framework, clarifying the distinction between security and resilience, and introducing the Resilience-by-Design paradigm. </w:t>
      </w:r>
    </w:p>
    <w:p w14:paraId="35F337D6" w14:textId="55BF90DD" w:rsidR="00C80606" w:rsidRDefault="00436AA4" w:rsidP="00436AA4">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 xml:space="preserve">Section 3 reviews African legal and policy frameworks (including Kenya’s Data Protection Act and the Malabo Convention) and assesses their limitations </w:t>
      </w:r>
      <w:r w:rsidR="002E3698" w:rsidRPr="004C1335">
        <w:rPr>
          <w:rFonts w:ascii="Calibri" w:eastAsia="Times New Roman" w:hAnsi="Calibri" w:cs="Calibri"/>
          <w:kern w:val="0"/>
          <w:lang w:eastAsia="en-KE"/>
          <w14:ligatures w14:val="none"/>
        </w:rPr>
        <w:t>regarding</w:t>
      </w:r>
      <w:r w:rsidRPr="004C1335">
        <w:rPr>
          <w:rFonts w:ascii="Calibri" w:eastAsia="Times New Roman" w:hAnsi="Calibri" w:cs="Calibri"/>
          <w:kern w:val="0"/>
          <w:lang w:eastAsia="en-KE"/>
          <w14:ligatures w14:val="none"/>
        </w:rPr>
        <w:t xml:space="preserve"> resilience. Section 4 discusses design-level resilience (technical architecture, multi-cloud redundancy, immutable stores). Section 5 addresses operational resilience (metrics such as mean time to recover, service continuity thresholds, integrity loss; and testing methods such as chaos engineering and adversarial simulation). </w:t>
      </w:r>
    </w:p>
    <w:p w14:paraId="4BD49ACB" w14:textId="0EF463B2" w:rsidR="00436AA4" w:rsidRPr="004C1335" w:rsidRDefault="00436AA4" w:rsidP="00436AA4">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Section 6 examines governance-level resilience (regulatory audits, CERTs, public-private coordination, cross‐border incident response). Section 7 develops a tiered adoption roadmap suitable for both resource-constrained and higher-capacity environments.</w:t>
      </w:r>
      <w:r w:rsidR="00C80606">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Section 8 offers policy and regulatory recommendations for harmonising resilience obligations across jurisdictions in Africa. Finally, the conclusion summarises contributions, reflects on implications for Africa’s inclusive digital transformation, and outlines directions for future research.</w:t>
      </w:r>
      <w:r w:rsidR="00533E16">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By embedding resilience as a core principle of system design, operation and governance, the article argues that resilient data systems are not merely defensive infrastructures but strategic enablers of Africa’s digital sovereignty, public trust and inclusive economic growth.</w:t>
      </w:r>
    </w:p>
    <w:p w14:paraId="1851A0DC" w14:textId="1FF9E835" w:rsidR="00F27057" w:rsidRPr="00462CD8" w:rsidRDefault="00F27057" w:rsidP="00462CD8">
      <w:pPr>
        <w:pStyle w:val="Heading1"/>
        <w:jc w:val="center"/>
        <w:rPr>
          <w:rFonts w:eastAsia="Times New Roman"/>
          <w:sz w:val="32"/>
          <w:szCs w:val="32"/>
          <w:lang w:eastAsia="en-KE"/>
        </w:rPr>
      </w:pPr>
      <w:bookmarkStart w:id="2" w:name="_Toc213772604"/>
      <w:r w:rsidRPr="00462CD8">
        <w:rPr>
          <w:rFonts w:eastAsia="Times New Roman"/>
          <w:sz w:val="32"/>
          <w:szCs w:val="32"/>
          <w:lang w:eastAsia="en-KE"/>
        </w:rPr>
        <w:t>Theoretical and Conceptual Framework</w:t>
      </w:r>
      <w:bookmarkEnd w:id="2"/>
    </w:p>
    <w:p w14:paraId="38080621" w14:textId="77777777" w:rsidR="00F27057" w:rsidRPr="001D0726" w:rsidRDefault="00F27057" w:rsidP="001D0726">
      <w:pPr>
        <w:pStyle w:val="Heading2"/>
        <w:jc w:val="center"/>
        <w:rPr>
          <w:rFonts w:eastAsia="Times New Roman"/>
          <w:sz w:val="28"/>
          <w:szCs w:val="28"/>
          <w:lang w:eastAsia="en-KE"/>
        </w:rPr>
      </w:pPr>
      <w:bookmarkStart w:id="3" w:name="_Toc213772605"/>
      <w:r w:rsidRPr="001D0726">
        <w:rPr>
          <w:rFonts w:eastAsia="Times New Roman"/>
          <w:sz w:val="28"/>
          <w:szCs w:val="28"/>
          <w:lang w:eastAsia="en-KE"/>
        </w:rPr>
        <w:t>Defining security and resilience</w:t>
      </w:r>
      <w:bookmarkEnd w:id="3"/>
    </w:p>
    <w:p w14:paraId="57EDA536" w14:textId="7B475A47"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In scholarship and practice, the terms security and resilience describe related but distinct aims for information systems. Security typically denotes the set of policies, controls and practices that prevent, detect and limit unauthorized access, disclosure, modification or destruction of data. Resilience denotes the capacity of systems to maintain acceptable levels of service and to recover from incidents, whether those incidents are malicious attacks, component failures, or environmental disruptions. Framing resilience as distinct from security helps avoid the common conflation that securing data alone guarantees continuous service delivery. This distinction is emphasized across engineering and operational literatures that treat resilience as a property encompassing redundancy, graceful degradation, recoverability and adaptive capacity</w:t>
      </w:r>
      <w:r w:rsidR="00447F15" w:rsidRPr="004C1335">
        <w:rPr>
          <w:rFonts w:ascii="Calibri" w:eastAsia="Times New Roman" w:hAnsi="Calibri" w:cs="Calibri"/>
          <w:kern w:val="0"/>
          <w:lang w:eastAsia="en-KE"/>
          <w14:ligatures w14:val="none"/>
        </w:rPr>
        <w:t xml:space="preserve"> </w:t>
      </w:r>
      <w:sdt>
        <w:sdtPr>
          <w:rPr>
            <w:rFonts w:ascii="Calibri" w:eastAsia="Times New Roman" w:hAnsi="Calibri" w:cs="Calibri"/>
            <w:kern w:val="0"/>
            <w:lang w:eastAsia="en-KE"/>
            <w14:ligatures w14:val="none"/>
          </w:rPr>
          <w:id w:val="-2070490751"/>
          <w:citation/>
        </w:sdtPr>
        <w:sdtContent>
          <w:r w:rsidR="00447F15" w:rsidRPr="004C1335">
            <w:rPr>
              <w:rFonts w:ascii="Calibri" w:eastAsia="Times New Roman" w:hAnsi="Calibri" w:cs="Calibri"/>
              <w:kern w:val="0"/>
              <w:lang w:eastAsia="en-KE"/>
              <w14:ligatures w14:val="none"/>
            </w:rPr>
            <w:fldChar w:fldCharType="begin"/>
          </w:r>
          <w:r w:rsidR="00447F15" w:rsidRPr="004C1335">
            <w:rPr>
              <w:rFonts w:ascii="Calibri" w:eastAsia="Times New Roman" w:hAnsi="Calibri" w:cs="Calibri"/>
              <w:kern w:val="0"/>
              <w:lang w:val="en-US" w:eastAsia="en-KE"/>
              <w14:ligatures w14:val="none"/>
            </w:rPr>
            <w:instrText xml:space="preserve"> CITATION Bas17 \l 1033 </w:instrText>
          </w:r>
          <w:r w:rsidR="00447F15" w:rsidRPr="004C1335">
            <w:rPr>
              <w:rFonts w:ascii="Calibri" w:eastAsia="Times New Roman" w:hAnsi="Calibri" w:cs="Calibri"/>
              <w:kern w:val="0"/>
              <w:lang w:eastAsia="en-KE"/>
              <w14:ligatures w14:val="none"/>
            </w:rPr>
            <w:fldChar w:fldCharType="separate"/>
          </w:r>
          <w:r w:rsidR="00447F15" w:rsidRPr="004C1335">
            <w:rPr>
              <w:rFonts w:ascii="Calibri" w:eastAsia="Times New Roman" w:hAnsi="Calibri" w:cs="Calibri"/>
              <w:noProof/>
              <w:kern w:val="0"/>
              <w:lang w:val="en-US" w:eastAsia="en-KE"/>
              <w14:ligatures w14:val="none"/>
            </w:rPr>
            <w:t>(Basiri, 2017)</w:t>
          </w:r>
          <w:r w:rsidR="00447F15" w:rsidRPr="004C1335">
            <w:rPr>
              <w:rFonts w:ascii="Calibri" w:eastAsia="Times New Roman" w:hAnsi="Calibri" w:cs="Calibri"/>
              <w:kern w:val="0"/>
              <w:lang w:eastAsia="en-KE"/>
              <w14:ligatures w14:val="none"/>
            </w:rPr>
            <w:fldChar w:fldCharType="end"/>
          </w:r>
        </w:sdtContent>
      </w:sdt>
      <w:r w:rsidR="00447F15" w:rsidRPr="004C1335">
        <w:rPr>
          <w:rFonts w:ascii="Calibri" w:eastAsia="Times New Roman" w:hAnsi="Calibri" w:cs="Calibri"/>
          <w:kern w:val="0"/>
          <w:lang w:eastAsia="en-KE"/>
          <w14:ligatures w14:val="none"/>
        </w:rPr>
        <w:t>.</w:t>
      </w:r>
    </w:p>
    <w:p w14:paraId="560A7CD7" w14:textId="4EF268C6"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Operationally, resilience metrics focus on outcomes that matter to users and regulators. Examples of such metrics include mean time to recover, service continuity thresholds and measures of data integrity loss. These metrics differ from purely preventive or compliance metrics because they measure system performance under stress and the speed and completeness of recovery. Industry and reliability literature make clear that organizations must measure these recovery indicators alongside traditional security controls to achieve trustworthy systems </w:t>
      </w:r>
      <w:sdt>
        <w:sdtPr>
          <w:rPr>
            <w:rFonts w:ascii="Calibri" w:eastAsia="Times New Roman" w:hAnsi="Calibri" w:cs="Calibri"/>
            <w:kern w:val="0"/>
            <w:lang w:eastAsia="en-KE"/>
            <w14:ligatures w14:val="none"/>
          </w:rPr>
          <w:id w:val="-553543619"/>
          <w:citation/>
        </w:sdtPr>
        <w:sdtContent>
          <w:r w:rsidR="00B61D95" w:rsidRPr="004C1335">
            <w:rPr>
              <w:rFonts w:ascii="Calibri" w:eastAsia="Times New Roman" w:hAnsi="Calibri" w:cs="Calibri"/>
              <w:kern w:val="0"/>
              <w:lang w:eastAsia="en-KE"/>
              <w14:ligatures w14:val="none"/>
            </w:rPr>
            <w:fldChar w:fldCharType="begin"/>
          </w:r>
          <w:r w:rsidR="00B61D95" w:rsidRPr="004C1335">
            <w:rPr>
              <w:rFonts w:ascii="Calibri" w:eastAsia="Times New Roman" w:hAnsi="Calibri" w:cs="Calibri"/>
              <w:kern w:val="0"/>
              <w:lang w:val="en-US" w:eastAsia="en-KE"/>
              <w14:ligatures w14:val="none"/>
            </w:rPr>
            <w:instrText xml:space="preserve"> CITATION Atl24 \l 1033 </w:instrText>
          </w:r>
          <w:r w:rsidR="00B61D95" w:rsidRPr="004C1335">
            <w:rPr>
              <w:rFonts w:ascii="Calibri" w:eastAsia="Times New Roman" w:hAnsi="Calibri" w:cs="Calibri"/>
              <w:kern w:val="0"/>
              <w:lang w:eastAsia="en-KE"/>
              <w14:ligatures w14:val="none"/>
            </w:rPr>
            <w:fldChar w:fldCharType="separate"/>
          </w:r>
          <w:r w:rsidR="00B61D95" w:rsidRPr="004C1335">
            <w:rPr>
              <w:rFonts w:ascii="Calibri" w:eastAsia="Times New Roman" w:hAnsi="Calibri" w:cs="Calibri"/>
              <w:noProof/>
              <w:kern w:val="0"/>
              <w:lang w:val="en-US" w:eastAsia="en-KE"/>
              <w14:ligatures w14:val="none"/>
            </w:rPr>
            <w:t>(Atlassian, 2024)</w:t>
          </w:r>
          <w:r w:rsidR="00B61D95" w:rsidRPr="004C1335">
            <w:rPr>
              <w:rFonts w:ascii="Calibri" w:eastAsia="Times New Roman" w:hAnsi="Calibri" w:cs="Calibri"/>
              <w:kern w:val="0"/>
              <w:lang w:eastAsia="en-KE"/>
              <w14:ligatures w14:val="none"/>
            </w:rPr>
            <w:fldChar w:fldCharType="end"/>
          </w:r>
        </w:sdtContent>
      </w:sdt>
      <w:r w:rsidR="00B61D95" w:rsidRPr="004C1335">
        <w:rPr>
          <w:rFonts w:ascii="Calibri" w:eastAsia="Times New Roman" w:hAnsi="Calibri" w:cs="Calibri"/>
          <w:kern w:val="0"/>
          <w:lang w:eastAsia="en-KE"/>
          <w14:ligatures w14:val="none"/>
        </w:rPr>
        <w:t>.</w:t>
      </w:r>
    </w:p>
    <w:p w14:paraId="5533BB9D" w14:textId="7E6CB632" w:rsidR="00F27057" w:rsidRPr="003A328B" w:rsidRDefault="00F27057" w:rsidP="003A328B">
      <w:pPr>
        <w:pStyle w:val="Heading2"/>
        <w:jc w:val="center"/>
        <w:rPr>
          <w:rFonts w:eastAsia="Times New Roman"/>
          <w:sz w:val="28"/>
          <w:szCs w:val="28"/>
          <w:lang w:eastAsia="en-KE"/>
        </w:rPr>
      </w:pPr>
      <w:bookmarkStart w:id="4" w:name="_Toc213772606"/>
      <w:r w:rsidRPr="003A328B">
        <w:rPr>
          <w:rFonts w:eastAsia="Times New Roman"/>
          <w:sz w:val="28"/>
          <w:szCs w:val="28"/>
          <w:lang w:eastAsia="en-KE"/>
        </w:rPr>
        <w:lastRenderedPageBreak/>
        <w:t>Why a Resilience-by-Design paradigm is needed</w:t>
      </w:r>
      <w:bookmarkEnd w:id="4"/>
    </w:p>
    <w:p w14:paraId="41728420" w14:textId="77777777" w:rsidR="00DF2BD0"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Regulatory frameworks and organizational practices often emphasize prevention and compliance. Legal instruments tend to mandate data protection principles, breach notification, and accountability for controllers and processors. While these are necessary for protecting rights and promoting accountability, they are not sufficient to ensure continuity when disruptions occur. For instance, data protection statutes may require appropriate technical and organizational measures but typically do not prescribe fault tolerance architectures, multi-cloud redundancy or resilience testing regimes in operational terms. </w:t>
      </w:r>
    </w:p>
    <w:p w14:paraId="0B8D9C8A" w14:textId="5F9B8816" w:rsidR="00450C6F" w:rsidRPr="004C1335" w:rsidRDefault="00F27057" w:rsidP="00DF2BD0">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gap between compliance-oriented law and engineering practice creates a vulnerability</w:t>
      </w:r>
      <w:r w:rsidR="007931EE">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systems that are "secure" on paper may still fail catastrophically when components or services become unavailable.</w:t>
      </w:r>
      <w:r w:rsidR="00E81C38">
        <w:rPr>
          <w:rFonts w:ascii="Calibri" w:eastAsia="Times New Roman" w:hAnsi="Calibri" w:cs="Calibri"/>
          <w:noProof/>
          <w:kern w:val="0"/>
          <w:lang w:eastAsia="en-KE"/>
        </w:rPr>
        <mc:AlternateContent>
          <mc:Choice Requires="wpi">
            <w:drawing>
              <wp:anchor distT="0" distB="0" distL="114300" distR="114300" simplePos="0" relativeHeight="251662336" behindDoc="0" locked="0" layoutInCell="1" allowOverlap="1" wp14:anchorId="2DB853EA" wp14:editId="00742EB9">
                <wp:simplePos x="0" y="0"/>
                <wp:positionH relativeFrom="column">
                  <wp:posOffset>7933147</wp:posOffset>
                </wp:positionH>
                <wp:positionV relativeFrom="paragraph">
                  <wp:posOffset>-504340</wp:posOffset>
                </wp:positionV>
                <wp:extent cx="86040" cy="1270800"/>
                <wp:effectExtent l="38100" t="57150" r="47625" b="43815"/>
                <wp:wrapNone/>
                <wp:docPr id="1219646549" name="Ink 5"/>
                <wp:cNvGraphicFramePr/>
                <a:graphic xmlns:a="http://schemas.openxmlformats.org/drawingml/2006/main">
                  <a:graphicData uri="http://schemas.microsoft.com/office/word/2010/wordprocessingInk">
                    <w14:contentPart bwMode="auto" r:id="rId9">
                      <w14:nvContentPartPr>
                        <w14:cNvContentPartPr/>
                      </w14:nvContentPartPr>
                      <w14:xfrm>
                        <a:off x="0" y="0"/>
                        <a:ext cx="86040" cy="1270800"/>
                      </w14:xfrm>
                    </w14:contentPart>
                  </a:graphicData>
                </a:graphic>
              </wp:anchor>
            </w:drawing>
          </mc:Choice>
          <mc:Fallback>
            <w:pict>
              <v:shapetype w14:anchorId="56497F4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 o:spid="_x0000_s1026" type="#_x0000_t75" style="position:absolute;margin-left:623.25pt;margin-top:-41.1pt;width:9.6pt;height:102.8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">
                <v:imagedata r:id="rId10" o:title=""/>
              </v:shape>
            </w:pict>
          </mc:Fallback>
        </mc:AlternateContent>
      </w:r>
      <w:r w:rsidR="004A2C47">
        <w:rPr>
          <w:rFonts w:ascii="Calibri" w:eastAsia="Times New Roman" w:hAnsi="Calibri" w:cs="Calibri"/>
          <w:noProof/>
          <w:kern w:val="0"/>
          <w:lang w:eastAsia="en-KE"/>
        </w:rPr>
        <mc:AlternateContent>
          <mc:Choice Requires="wpi">
            <w:drawing>
              <wp:anchor distT="0" distB="0" distL="114300" distR="114300" simplePos="0" relativeHeight="251661312" behindDoc="0" locked="0" layoutInCell="1" allowOverlap="1" wp14:anchorId="11F6423D" wp14:editId="234F2B14">
                <wp:simplePos x="0" y="0"/>
                <wp:positionH relativeFrom="column">
                  <wp:posOffset>7181215</wp:posOffset>
                </wp:positionH>
                <wp:positionV relativeFrom="paragraph">
                  <wp:posOffset>-319405</wp:posOffset>
                </wp:positionV>
                <wp:extent cx="314960" cy="1871345"/>
                <wp:effectExtent l="57150" t="57150" r="27940" b="52705"/>
                <wp:wrapNone/>
                <wp:docPr id="839483115" name="Ink 3"/>
                <wp:cNvGraphicFramePr/>
                <a:graphic xmlns:a="http://schemas.openxmlformats.org/drawingml/2006/main">
                  <a:graphicData uri="http://schemas.microsoft.com/office/word/2010/wordprocessingInk">
                    <w14:contentPart bwMode="auto" r:id="rId11">
                      <w14:nvContentPartPr>
                        <w14:cNvContentPartPr/>
                      </w14:nvContentPartPr>
                      <w14:xfrm>
                        <a:off x="0" y="0"/>
                        <a:ext cx="314960" cy="1871345"/>
                      </w14:xfrm>
                    </w14:contentPart>
                  </a:graphicData>
                </a:graphic>
              </wp:anchor>
            </w:drawing>
          </mc:Choice>
          <mc:Fallback>
            <w:pict>
              <v:shape w14:anchorId="79E0D872" id="Ink 3" o:spid="_x0000_s1026" type="#_x0000_t75" style="position:absolute;margin-left:564.05pt;margin-top:-26.55pt;width:26.55pt;height:149.1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">
                <v:imagedata r:id="rId12" o:title=""/>
              </v:shape>
            </w:pict>
          </mc:Fallback>
        </mc:AlternateContent>
      </w:r>
      <w:r w:rsidR="00DF2BD0">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Resilience-by-Design responds to this gap by treating resilience as a first-order design goal, on par with confidentiality, integrity and availability. The approach borrows from the engineering maxim security by design while broadening the remit to include redundancy, automated recovery, observability and continuous testing. Recent work on resilience engineering for distributed cloud systems and multi-cloud environments articulates the same imperative</w:t>
      </w:r>
      <w:r w:rsidR="00731D54">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resilience must be engineered into architecture, deployment pipelines and organizational processes rather than retrofitted after incidents begin to occur </w:t>
      </w:r>
      <w:sdt>
        <w:sdtPr>
          <w:rPr>
            <w:rFonts w:ascii="Calibri" w:eastAsia="Times New Roman" w:hAnsi="Calibri" w:cs="Calibri"/>
            <w:kern w:val="0"/>
            <w:lang w:eastAsia="en-KE"/>
            <w14:ligatures w14:val="none"/>
          </w:rPr>
          <w:id w:val="1404794470"/>
          <w:citation/>
        </w:sdtPr>
        <w:sdtContent>
          <w:r w:rsidR="00C02770" w:rsidRPr="004C1335">
            <w:rPr>
              <w:rFonts w:ascii="Calibri" w:eastAsia="Times New Roman" w:hAnsi="Calibri" w:cs="Calibri"/>
              <w:kern w:val="0"/>
              <w:lang w:eastAsia="en-KE"/>
              <w14:ligatures w14:val="none"/>
            </w:rPr>
            <w:fldChar w:fldCharType="begin"/>
          </w:r>
          <w:r w:rsidR="00C02770" w:rsidRPr="004C1335">
            <w:rPr>
              <w:rFonts w:ascii="Calibri" w:eastAsia="Times New Roman" w:hAnsi="Calibri" w:cs="Calibri"/>
              <w:kern w:val="0"/>
              <w:lang w:val="en-US" w:eastAsia="en-KE"/>
              <w14:ligatures w14:val="none"/>
            </w:rPr>
            <w:instrText xml:space="preserve"> CITATION Ram25 \l 1033 </w:instrText>
          </w:r>
          <w:r w:rsidR="00C02770" w:rsidRPr="004C1335">
            <w:rPr>
              <w:rFonts w:ascii="Calibri" w:eastAsia="Times New Roman" w:hAnsi="Calibri" w:cs="Calibri"/>
              <w:kern w:val="0"/>
              <w:lang w:eastAsia="en-KE"/>
              <w14:ligatures w14:val="none"/>
            </w:rPr>
            <w:fldChar w:fldCharType="separate"/>
          </w:r>
          <w:r w:rsidR="00C02770" w:rsidRPr="004C1335">
            <w:rPr>
              <w:rFonts w:ascii="Calibri" w:eastAsia="Times New Roman" w:hAnsi="Calibri" w:cs="Calibri"/>
              <w:noProof/>
              <w:kern w:val="0"/>
              <w:lang w:val="en-US" w:eastAsia="en-KE"/>
              <w14:ligatures w14:val="none"/>
            </w:rPr>
            <w:t>(Hariharan, 2025)</w:t>
          </w:r>
          <w:r w:rsidR="00C02770" w:rsidRPr="004C1335">
            <w:rPr>
              <w:rFonts w:ascii="Calibri" w:eastAsia="Times New Roman" w:hAnsi="Calibri" w:cs="Calibri"/>
              <w:kern w:val="0"/>
              <w:lang w:eastAsia="en-KE"/>
              <w14:ligatures w14:val="none"/>
            </w:rPr>
            <w:fldChar w:fldCharType="end"/>
          </w:r>
        </w:sdtContent>
      </w:sdt>
      <w:sdt>
        <w:sdtPr>
          <w:rPr>
            <w:rFonts w:ascii="Calibri" w:eastAsia="Times New Roman" w:hAnsi="Calibri" w:cs="Calibri"/>
            <w:kern w:val="0"/>
            <w:lang w:eastAsia="en-KE"/>
            <w14:ligatures w14:val="none"/>
          </w:rPr>
          <w:id w:val="-1933202184"/>
          <w:citation/>
        </w:sdtPr>
        <w:sdtContent>
          <w:r w:rsidR="00C02770" w:rsidRPr="004C1335">
            <w:rPr>
              <w:rFonts w:ascii="Calibri" w:eastAsia="Times New Roman" w:hAnsi="Calibri" w:cs="Calibri"/>
              <w:kern w:val="0"/>
              <w:lang w:eastAsia="en-KE"/>
              <w14:ligatures w14:val="none"/>
            </w:rPr>
            <w:fldChar w:fldCharType="begin"/>
          </w:r>
          <w:r w:rsidR="00F677C8" w:rsidRPr="004C1335">
            <w:rPr>
              <w:rFonts w:ascii="Calibri" w:eastAsia="Times New Roman" w:hAnsi="Calibri" w:cs="Calibri"/>
              <w:kern w:val="0"/>
              <w:lang w:val="en-US" w:eastAsia="en-KE"/>
              <w14:ligatures w14:val="none"/>
            </w:rPr>
            <w:instrText xml:space="preserve">CITATION Bal24 \l 1033 </w:instrText>
          </w:r>
          <w:r w:rsidR="00C02770" w:rsidRPr="004C1335">
            <w:rPr>
              <w:rFonts w:ascii="Calibri" w:eastAsia="Times New Roman" w:hAnsi="Calibri" w:cs="Calibri"/>
              <w:kern w:val="0"/>
              <w:lang w:eastAsia="en-KE"/>
              <w14:ligatures w14:val="none"/>
            </w:rPr>
            <w:fldChar w:fldCharType="separate"/>
          </w:r>
          <w:r w:rsidR="00F677C8" w:rsidRPr="004C1335">
            <w:rPr>
              <w:rFonts w:ascii="Calibri" w:eastAsia="Times New Roman" w:hAnsi="Calibri" w:cs="Calibri"/>
              <w:noProof/>
              <w:kern w:val="0"/>
              <w:lang w:val="en-US" w:eastAsia="en-KE"/>
              <w14:ligatures w14:val="none"/>
            </w:rPr>
            <w:t xml:space="preserve"> (Arugula, 2024)</w:t>
          </w:r>
          <w:r w:rsidR="00C02770" w:rsidRPr="004C1335">
            <w:rPr>
              <w:rFonts w:ascii="Calibri" w:eastAsia="Times New Roman" w:hAnsi="Calibri" w:cs="Calibri"/>
              <w:kern w:val="0"/>
              <w:lang w:eastAsia="en-KE"/>
              <w14:ligatures w14:val="none"/>
            </w:rPr>
            <w:fldChar w:fldCharType="end"/>
          </w:r>
        </w:sdtContent>
      </w:sdt>
      <w:r w:rsidR="004A2C47">
        <w:rPr>
          <w:rFonts w:ascii="Calibri" w:eastAsia="Times New Roman" w:hAnsi="Calibri" w:cs="Calibri"/>
          <w:kern w:val="0"/>
          <w:lang w:eastAsia="en-KE"/>
          <w14:ligatures w14:val="none"/>
        </w:rPr>
        <w:t>.</w:t>
      </w:r>
    </w:p>
    <w:p w14:paraId="3C7BA1CC" w14:textId="0F9CC065" w:rsidR="00F27057" w:rsidRPr="00BE247E" w:rsidRDefault="00F27057" w:rsidP="00450C6F">
      <w:pPr>
        <w:spacing w:before="240" w:after="240" w:line="240" w:lineRule="auto"/>
        <w:jc w:val="both"/>
        <w:rPr>
          <w:rFonts w:ascii="Calibri" w:eastAsia="Times New Roman" w:hAnsi="Calibri" w:cs="Calibri"/>
          <w:i/>
          <w:iCs/>
          <w:kern w:val="0"/>
          <w:lang w:eastAsia="en-KE"/>
          <w14:ligatures w14:val="none"/>
        </w:rPr>
      </w:pPr>
      <w:r w:rsidRPr="00BE247E">
        <w:rPr>
          <w:rFonts w:ascii="Calibri" w:eastAsia="Times New Roman" w:hAnsi="Calibri" w:cs="Calibri"/>
          <w:i/>
          <w:iCs/>
          <w:kern w:val="0"/>
          <w:lang w:eastAsia="en-KE"/>
          <w14:ligatures w14:val="none"/>
        </w:rPr>
        <w:t>Core technical primitives of resilience</w:t>
      </w:r>
    </w:p>
    <w:p w14:paraId="4DBEE456" w14:textId="77777777" w:rsidR="00F27057" w:rsidRPr="004C1335" w:rsidRDefault="00F27057" w:rsidP="00450C6F">
      <w:pPr>
        <w:spacing w:before="240" w:after="240"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Resilience-by-Design is built from a set of technical primitives that reduce the risk of single points of failure and improve recoverability.</w:t>
      </w:r>
    </w:p>
    <w:p w14:paraId="5C788F9B" w14:textId="77777777"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Zero Trust Architecture. Zero trust rejects the assumption that actors or systems inside a network perimeter are implicitly trustworthy. Instead, it mandates continuous verification of users, devices and services before granting access. Zero trust reduces the blast radius of compromised credentials or internal misconfigurations and therefore supports containment and faster recovery when breaches occur.</w:t>
      </w:r>
    </w:p>
    <w:p w14:paraId="23FB9974" w14:textId="77777777"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Fault Tolerance and Redundancy. Fault tolerance is the capacity of a system to continue operation despite the failure of some components. Techniques include replication, automated failover, stateless service design and graceful degradation. Redundancy ensures that a backup component or service can assume operations immediately when a primary component fails, thereby reducing observable downtime.</w:t>
      </w:r>
    </w:p>
    <w:p w14:paraId="64CBC2CA" w14:textId="77777777" w:rsidR="00EB2AEA"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Multi-Cloud Redundancy and Geographic Distribution. Relying on a single cloud provider or a single </w:t>
      </w:r>
      <w:r w:rsidR="00A83F60" w:rsidRPr="004C1335">
        <w:rPr>
          <w:rFonts w:ascii="Calibri" w:eastAsia="Times New Roman" w:hAnsi="Calibri" w:cs="Calibri"/>
          <w:kern w:val="0"/>
          <w:lang w:eastAsia="en-KE"/>
          <w14:ligatures w14:val="none"/>
        </w:rPr>
        <w:t>datacentre</w:t>
      </w:r>
      <w:r w:rsidRPr="004C1335">
        <w:rPr>
          <w:rFonts w:ascii="Calibri" w:eastAsia="Times New Roman" w:hAnsi="Calibri" w:cs="Calibri"/>
          <w:kern w:val="0"/>
          <w:lang w:eastAsia="en-KE"/>
          <w14:ligatures w14:val="none"/>
        </w:rPr>
        <w:t xml:space="preserve"> creates systemic risk. Multi-cloud and geographically distributed deployments reduce correlated failure risk from provider outages or regional infrastructure failures. </w:t>
      </w:r>
    </w:p>
    <w:p w14:paraId="191F827B" w14:textId="3FF994BC"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 xml:space="preserve">Recent engineering studies emphasize designing architectures that can operate across heterogeneous cloud environments while ensuring data consistency and legal compliance. </w:t>
      </w:r>
    </w:p>
    <w:p w14:paraId="2DB26FFF" w14:textId="2308C744"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Immutable Data Stores and Tamper Evidence. Immutable storage and append-only ledgers provide strong auditability and make undetected data tampering more difficult. Immutable snapshots and write-once read-many (WORM) storage patterns assist recovery and forensics by preserving known good states that can be restored when integrity is suspected to be compromised</w:t>
      </w:r>
      <w:r w:rsidR="003B097D" w:rsidRPr="004C1335">
        <w:rPr>
          <w:rFonts w:ascii="Calibri" w:eastAsia="Times New Roman" w:hAnsi="Calibri" w:cs="Calibri"/>
          <w:kern w:val="0"/>
          <w:lang w:eastAsia="en-KE"/>
          <w14:ligatures w14:val="none"/>
        </w:rPr>
        <w:t xml:space="preserve"> </w:t>
      </w:r>
      <w:sdt>
        <w:sdtPr>
          <w:rPr>
            <w:rFonts w:ascii="Calibri" w:eastAsia="Times New Roman" w:hAnsi="Calibri" w:cs="Calibri"/>
            <w:kern w:val="0"/>
            <w:lang w:eastAsia="en-KE"/>
            <w14:ligatures w14:val="none"/>
          </w:rPr>
          <w:id w:val="-1029335243"/>
          <w:citation/>
        </w:sdtPr>
        <w:sdtContent>
          <w:r w:rsidR="003B097D" w:rsidRPr="004C1335">
            <w:rPr>
              <w:rFonts w:ascii="Calibri" w:eastAsia="Times New Roman" w:hAnsi="Calibri" w:cs="Calibri"/>
              <w:kern w:val="0"/>
              <w:lang w:eastAsia="en-KE"/>
              <w14:ligatures w14:val="none"/>
            </w:rPr>
            <w:fldChar w:fldCharType="begin"/>
          </w:r>
          <w:r w:rsidR="003B097D" w:rsidRPr="004C1335">
            <w:rPr>
              <w:rFonts w:ascii="Calibri" w:eastAsia="Times New Roman" w:hAnsi="Calibri" w:cs="Calibri"/>
              <w:kern w:val="0"/>
              <w:lang w:val="en-US" w:eastAsia="en-KE"/>
              <w14:ligatures w14:val="none"/>
            </w:rPr>
            <w:instrText xml:space="preserve"> CITATION Bal24 \l 1033 </w:instrText>
          </w:r>
          <w:r w:rsidR="003B097D" w:rsidRPr="004C1335">
            <w:rPr>
              <w:rFonts w:ascii="Calibri" w:eastAsia="Times New Roman" w:hAnsi="Calibri" w:cs="Calibri"/>
              <w:kern w:val="0"/>
              <w:lang w:eastAsia="en-KE"/>
              <w14:ligatures w14:val="none"/>
            </w:rPr>
            <w:fldChar w:fldCharType="separate"/>
          </w:r>
          <w:r w:rsidR="003B097D" w:rsidRPr="004C1335">
            <w:rPr>
              <w:rFonts w:ascii="Calibri" w:eastAsia="Times New Roman" w:hAnsi="Calibri" w:cs="Calibri"/>
              <w:noProof/>
              <w:kern w:val="0"/>
              <w:lang w:val="en-US" w:eastAsia="en-KE"/>
              <w14:ligatures w14:val="none"/>
            </w:rPr>
            <w:t>(Arugula, 2024)</w:t>
          </w:r>
          <w:r w:rsidR="003B097D" w:rsidRPr="004C1335">
            <w:rPr>
              <w:rFonts w:ascii="Calibri" w:eastAsia="Times New Roman" w:hAnsi="Calibri" w:cs="Calibri"/>
              <w:kern w:val="0"/>
              <w:lang w:eastAsia="en-KE"/>
              <w14:ligatures w14:val="none"/>
            </w:rPr>
            <w:fldChar w:fldCharType="end"/>
          </w:r>
        </w:sdtContent>
      </w:sdt>
      <w:r w:rsidR="00730979" w:rsidRPr="004C1335">
        <w:rPr>
          <w:rFonts w:ascii="Calibri" w:eastAsia="Times New Roman" w:hAnsi="Calibri" w:cs="Calibri"/>
          <w:kern w:val="0"/>
          <w:lang w:eastAsia="en-KE"/>
          <w14:ligatures w14:val="none"/>
        </w:rPr>
        <w:t>.</w:t>
      </w:r>
    </w:p>
    <w:p w14:paraId="7E09DD25" w14:textId="77777777"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Observability, Telemetry and Automated Playbooks. Observability provides the signals necessary to detect anomalies early and to drive automated or semi-automated recovery. Automated recovery playbooks, backed by runbooks and tested automation, reduce mean time to recover by shortening the human decision loop. The literature on site reliability engineering and cloud resilience stresses the combination of rich telemetry and automated incident response as key to lowering recovery times and improving service continuity.</w:t>
      </w:r>
    </w:p>
    <w:p w14:paraId="52EA09FF" w14:textId="29CCD6AA" w:rsidR="00F27057" w:rsidRPr="00BE247E" w:rsidRDefault="00F27057" w:rsidP="00F27057">
      <w:pPr>
        <w:spacing w:before="100" w:beforeAutospacing="1" w:after="100" w:afterAutospacing="1" w:line="240" w:lineRule="auto"/>
        <w:jc w:val="both"/>
        <w:rPr>
          <w:rFonts w:ascii="Calibri" w:eastAsia="Times New Roman" w:hAnsi="Calibri" w:cs="Calibri"/>
          <w:i/>
          <w:iCs/>
          <w:kern w:val="0"/>
          <w:lang w:eastAsia="en-KE"/>
          <w14:ligatures w14:val="none"/>
        </w:rPr>
      </w:pPr>
      <w:r w:rsidRPr="00BE247E">
        <w:rPr>
          <w:rFonts w:ascii="Calibri" w:eastAsia="Times New Roman" w:hAnsi="Calibri" w:cs="Calibri"/>
          <w:i/>
          <w:iCs/>
          <w:kern w:val="0"/>
          <w:lang w:eastAsia="en-KE"/>
          <w14:ligatures w14:val="none"/>
        </w:rPr>
        <w:t>Resilience metrics: measurement as governance</w:t>
      </w:r>
    </w:p>
    <w:p w14:paraId="2CFE7DA3" w14:textId="77777777"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Resilience must be measurable to be governable. Metrics enable organizations and regulators to set targets, monitor compliance and benchmark improvements. Important resilience metrics include the following.</w:t>
      </w:r>
    </w:p>
    <w:p w14:paraId="64E82CF0" w14:textId="412A832A" w:rsidR="00AF5410" w:rsidRDefault="00293951"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Mean Time Between Failures (MTBF), Mean Time </w:t>
      </w:r>
      <w:r w:rsidR="00B034C0" w:rsidRPr="004C1335">
        <w:rPr>
          <w:rFonts w:ascii="Calibri" w:eastAsia="Times New Roman" w:hAnsi="Calibri" w:cs="Calibri"/>
          <w:kern w:val="0"/>
          <w:lang w:eastAsia="en-KE"/>
          <w14:ligatures w14:val="none"/>
        </w:rPr>
        <w:t>to</w:t>
      </w:r>
      <w:r w:rsidRPr="004C1335">
        <w:rPr>
          <w:rFonts w:ascii="Calibri" w:eastAsia="Times New Roman" w:hAnsi="Calibri" w:cs="Calibri"/>
          <w:kern w:val="0"/>
          <w:lang w:eastAsia="en-KE"/>
          <w14:ligatures w14:val="none"/>
        </w:rPr>
        <w:t xml:space="preserve"> Repair/Recover (MTTR), Mean Time </w:t>
      </w:r>
      <w:r w:rsidR="00B034C0" w:rsidRPr="004C1335">
        <w:rPr>
          <w:rFonts w:ascii="Calibri" w:eastAsia="Times New Roman" w:hAnsi="Calibri" w:cs="Calibri"/>
          <w:kern w:val="0"/>
          <w:lang w:eastAsia="en-KE"/>
          <w14:ligatures w14:val="none"/>
        </w:rPr>
        <w:t>to</w:t>
      </w:r>
      <w:r w:rsidRPr="004C1335">
        <w:rPr>
          <w:rFonts w:ascii="Calibri" w:eastAsia="Times New Roman" w:hAnsi="Calibri" w:cs="Calibri"/>
          <w:kern w:val="0"/>
          <w:lang w:eastAsia="en-KE"/>
          <w14:ligatures w14:val="none"/>
        </w:rPr>
        <w:t xml:space="preserve"> Failure (MTTF), and Mean Time </w:t>
      </w:r>
      <w:r w:rsidR="00B034C0" w:rsidRPr="004C1335">
        <w:rPr>
          <w:rFonts w:ascii="Calibri" w:eastAsia="Times New Roman" w:hAnsi="Calibri" w:cs="Calibri"/>
          <w:kern w:val="0"/>
          <w:lang w:eastAsia="en-KE"/>
          <w14:ligatures w14:val="none"/>
        </w:rPr>
        <w:t>to</w:t>
      </w:r>
      <w:r w:rsidRPr="004C1335">
        <w:rPr>
          <w:rFonts w:ascii="Calibri" w:eastAsia="Times New Roman" w:hAnsi="Calibri" w:cs="Calibri"/>
          <w:kern w:val="0"/>
          <w:lang w:eastAsia="en-KE"/>
          <w14:ligatures w14:val="none"/>
        </w:rPr>
        <w:t xml:space="preserve"> Acknowledge (MTTA)</w:t>
      </w:r>
      <w:r w:rsidR="002D17CC" w:rsidRPr="004C1335">
        <w:rPr>
          <w:rFonts w:ascii="Calibri" w:eastAsia="Times New Roman" w:hAnsi="Calibri" w:cs="Calibri"/>
          <w:kern w:val="0"/>
          <w:lang w:eastAsia="en-KE"/>
          <w14:ligatures w14:val="none"/>
        </w:rPr>
        <w:t xml:space="preserve">. </w:t>
      </w:r>
      <w:r w:rsidR="009C7072" w:rsidRPr="004C1335">
        <w:rPr>
          <w:rFonts w:ascii="Calibri" w:eastAsia="Times New Roman" w:hAnsi="Calibri" w:cs="Calibri"/>
          <w:kern w:val="0"/>
          <w:lang w:eastAsia="en-KE"/>
          <w14:ligatures w14:val="none"/>
        </w:rPr>
        <w:t xml:space="preserve">These are key performance indicators used to assess and improve data systems resilience. MTBF measures the average time between one system failure and the next, serving as a reliability metric that indicates how often disruptions occur within a system that can be repaired. In contrast, MTTF applies to non-repairable systems or components and measures the average operational lifespan before a complete failure, thus reflecting inherent durability rather than maintainability. MTTR captures the average time required to diagnose, fix, and restore a system after a failure, directly influencing downtime and operational continuity. </w:t>
      </w:r>
    </w:p>
    <w:p w14:paraId="76F834E1" w14:textId="20D6A0EB" w:rsidR="00F27057" w:rsidRDefault="009C7072"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MTTA, on the other hand, evaluates the responsiveness of incident management teams</w:t>
      </w:r>
      <w:r w:rsidR="002D17CC"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the average time it takes from the moment an alert is triggered to when the team begins addressing the issue. Together, these metrics provide a holistic picture of a system’s reliability, responsiveness, and recoverability. While MTBF and MTTF emphasize proactive reliability, MTTA and MTTR focus on reactive recovery efficiency. In conclusion, achieving resilient and trustworthy data systems requires balancing all four metrics, as they collectively ensure systems not only minimize failures but also recover swiftly and maintain consistent performance.</w:t>
      </w:r>
      <w:sdt>
        <w:sdtPr>
          <w:rPr>
            <w:rFonts w:ascii="Calibri" w:eastAsia="Times New Roman" w:hAnsi="Calibri" w:cs="Calibri"/>
            <w:kern w:val="0"/>
            <w:lang w:eastAsia="en-KE"/>
            <w14:ligatures w14:val="none"/>
          </w:rPr>
          <w:id w:val="873886658"/>
          <w:citation/>
        </w:sdtPr>
        <w:sdtContent>
          <w:r w:rsidR="00B27691" w:rsidRPr="004C1335">
            <w:rPr>
              <w:rFonts w:ascii="Calibri" w:eastAsia="Times New Roman" w:hAnsi="Calibri" w:cs="Calibri"/>
              <w:kern w:val="0"/>
              <w:lang w:eastAsia="en-KE"/>
              <w14:ligatures w14:val="none"/>
            </w:rPr>
            <w:fldChar w:fldCharType="begin"/>
          </w:r>
          <w:r w:rsidR="00B27691" w:rsidRPr="004C1335">
            <w:rPr>
              <w:rFonts w:ascii="Calibri" w:eastAsia="Times New Roman" w:hAnsi="Calibri" w:cs="Calibri"/>
              <w:kern w:val="0"/>
              <w:lang w:val="en-US" w:eastAsia="en-KE"/>
              <w14:ligatures w14:val="none"/>
            </w:rPr>
            <w:instrText xml:space="preserve">CITATION Muh24 \l 1033 </w:instrText>
          </w:r>
          <w:r w:rsidR="00B27691" w:rsidRPr="004C1335">
            <w:rPr>
              <w:rFonts w:ascii="Calibri" w:eastAsia="Times New Roman" w:hAnsi="Calibri" w:cs="Calibri"/>
              <w:kern w:val="0"/>
              <w:lang w:eastAsia="en-KE"/>
              <w14:ligatures w14:val="none"/>
            </w:rPr>
            <w:fldChar w:fldCharType="separate"/>
          </w:r>
          <w:r w:rsidR="00B27691" w:rsidRPr="004C1335">
            <w:rPr>
              <w:rFonts w:ascii="Calibri" w:eastAsia="Times New Roman" w:hAnsi="Calibri" w:cs="Calibri"/>
              <w:noProof/>
              <w:kern w:val="0"/>
              <w:lang w:val="en-US" w:eastAsia="en-KE"/>
              <w14:ligatures w14:val="none"/>
            </w:rPr>
            <w:t>(Raza, 2024)</w:t>
          </w:r>
          <w:r w:rsidR="00B27691" w:rsidRPr="004C1335">
            <w:rPr>
              <w:rFonts w:ascii="Calibri" w:eastAsia="Times New Roman" w:hAnsi="Calibri" w:cs="Calibri"/>
              <w:kern w:val="0"/>
              <w:lang w:eastAsia="en-KE"/>
              <w14:ligatures w14:val="none"/>
            </w:rPr>
            <w:fldChar w:fldCharType="end"/>
          </w:r>
        </w:sdtContent>
      </w:sdt>
      <w:sdt>
        <w:sdtPr>
          <w:rPr>
            <w:rFonts w:ascii="Calibri" w:eastAsia="Times New Roman" w:hAnsi="Calibri" w:cs="Calibri"/>
            <w:kern w:val="0"/>
            <w:lang w:eastAsia="en-KE"/>
            <w14:ligatures w14:val="none"/>
          </w:rPr>
          <w:id w:val="1145619779"/>
          <w:citation/>
        </w:sdtPr>
        <w:sdtContent>
          <w:r w:rsidR="00B27691" w:rsidRPr="004C1335">
            <w:rPr>
              <w:rFonts w:ascii="Calibri" w:eastAsia="Times New Roman" w:hAnsi="Calibri" w:cs="Calibri"/>
              <w:kern w:val="0"/>
              <w:lang w:eastAsia="en-KE"/>
              <w14:ligatures w14:val="none"/>
            </w:rPr>
            <w:fldChar w:fldCharType="begin"/>
          </w:r>
          <w:r w:rsidR="00B27691" w:rsidRPr="004C1335">
            <w:rPr>
              <w:rFonts w:ascii="Calibri" w:eastAsia="Times New Roman" w:hAnsi="Calibri" w:cs="Calibri"/>
              <w:kern w:val="0"/>
              <w:lang w:val="en-US" w:eastAsia="en-KE"/>
              <w14:ligatures w14:val="none"/>
            </w:rPr>
            <w:instrText xml:space="preserve"> CITATION Atl25 \l 1033 </w:instrText>
          </w:r>
          <w:r w:rsidR="00B27691" w:rsidRPr="004C1335">
            <w:rPr>
              <w:rFonts w:ascii="Calibri" w:eastAsia="Times New Roman" w:hAnsi="Calibri" w:cs="Calibri"/>
              <w:kern w:val="0"/>
              <w:lang w:eastAsia="en-KE"/>
              <w14:ligatures w14:val="none"/>
            </w:rPr>
            <w:fldChar w:fldCharType="separate"/>
          </w:r>
          <w:r w:rsidR="00B27691" w:rsidRPr="004C1335">
            <w:rPr>
              <w:rFonts w:ascii="Calibri" w:eastAsia="Times New Roman" w:hAnsi="Calibri" w:cs="Calibri"/>
              <w:noProof/>
              <w:kern w:val="0"/>
              <w:lang w:val="en-US" w:eastAsia="en-KE"/>
              <w14:ligatures w14:val="none"/>
            </w:rPr>
            <w:t xml:space="preserve"> (Atlassian, 2025)</w:t>
          </w:r>
          <w:r w:rsidR="00B27691" w:rsidRPr="004C1335">
            <w:rPr>
              <w:rFonts w:ascii="Calibri" w:eastAsia="Times New Roman" w:hAnsi="Calibri" w:cs="Calibri"/>
              <w:kern w:val="0"/>
              <w:lang w:eastAsia="en-KE"/>
              <w14:ligatures w14:val="none"/>
            </w:rPr>
            <w:fldChar w:fldCharType="end"/>
          </w:r>
        </w:sdtContent>
      </w:sdt>
      <w:r w:rsidR="00B27691" w:rsidRPr="004C1335">
        <w:rPr>
          <w:rFonts w:ascii="Calibri" w:eastAsia="Times New Roman" w:hAnsi="Calibri" w:cs="Calibri"/>
          <w:kern w:val="0"/>
          <w:lang w:eastAsia="en-KE"/>
          <w14:ligatures w14:val="none"/>
        </w:rPr>
        <w:t>.</w:t>
      </w:r>
    </w:p>
    <w:p w14:paraId="75BC308C" w14:textId="77777777" w:rsidR="009C6328" w:rsidRDefault="009C6328" w:rsidP="009C6328">
      <w:pPr>
        <w:spacing w:before="100" w:beforeAutospacing="1" w:after="100" w:afterAutospacing="1" w:line="240" w:lineRule="auto"/>
        <w:jc w:val="both"/>
        <w:rPr>
          <w:rFonts w:ascii="Calibri" w:eastAsia="Times New Roman" w:hAnsi="Calibri" w:cs="Calibri"/>
          <w:kern w:val="0"/>
          <w:lang w:eastAsia="en-KE"/>
          <w14:ligatures w14:val="none"/>
        </w:rPr>
      </w:pPr>
    </w:p>
    <w:p w14:paraId="31653BF0" w14:textId="77777777" w:rsidR="009C6328" w:rsidRDefault="009C6328" w:rsidP="009C6328">
      <w:pPr>
        <w:spacing w:before="100" w:beforeAutospacing="1" w:after="100" w:afterAutospacing="1" w:line="240" w:lineRule="auto"/>
        <w:jc w:val="both"/>
        <w:rPr>
          <w:rFonts w:ascii="Calibri" w:eastAsia="Times New Roman" w:hAnsi="Calibri" w:cs="Calibri"/>
          <w:kern w:val="0"/>
          <w:lang w:eastAsia="en-KE"/>
          <w14:ligatures w14:val="none"/>
        </w:rPr>
      </w:pPr>
    </w:p>
    <w:p w14:paraId="2E4850BC" w14:textId="16079948" w:rsidR="009C6328" w:rsidRPr="00EF159B" w:rsidRDefault="00EF159B" w:rsidP="00554B19">
      <w:pPr>
        <w:spacing w:before="100" w:beforeAutospacing="1" w:after="100" w:afterAutospacing="1" w:line="240" w:lineRule="auto"/>
        <w:jc w:val="center"/>
        <w:rPr>
          <w:rFonts w:ascii="Calibri" w:eastAsia="Times New Roman" w:hAnsi="Calibri" w:cs="Calibri"/>
          <w:i/>
          <w:iCs/>
          <w:kern w:val="0"/>
          <w:lang w:eastAsia="en-KE"/>
          <w14:ligatures w14:val="none"/>
        </w:rPr>
      </w:pPr>
      <w:r w:rsidRPr="00EF159B">
        <w:rPr>
          <w:rFonts w:ascii="Calibri" w:eastAsia="Times New Roman" w:hAnsi="Calibri" w:cs="Calibri"/>
          <w:i/>
          <w:iCs/>
          <w:kern w:val="0"/>
          <w:lang w:eastAsia="en-KE"/>
          <w14:ligatures w14:val="none"/>
        </w:rPr>
        <w:lastRenderedPageBreak/>
        <w:t>Diagram showing resilient metrics</w:t>
      </w:r>
    </w:p>
    <w:p w14:paraId="554774D6" w14:textId="134DB149" w:rsidR="007C6884" w:rsidRPr="004C1335" w:rsidRDefault="009D3DEB" w:rsidP="005976E6">
      <w:pPr>
        <w:spacing w:before="100" w:beforeAutospacing="1" w:after="100" w:afterAutospacing="1" w:line="240" w:lineRule="auto"/>
        <w:rPr>
          <w:rFonts w:ascii="Calibri" w:eastAsia="Times New Roman" w:hAnsi="Calibri" w:cs="Calibri"/>
          <w:kern w:val="0"/>
          <w:lang w:eastAsia="en-KE"/>
          <w14:ligatures w14:val="none"/>
        </w:rPr>
      </w:pPr>
      <w:r w:rsidRPr="009D3DEB">
        <w:rPr>
          <w:rFonts w:ascii="Calibri" w:eastAsia="Times New Roman" w:hAnsi="Calibri" w:cs="Calibri"/>
          <w:kern w:val="0"/>
          <w:lang w:eastAsia="en-KE"/>
          <w14:ligatures w14:val="none"/>
        </w:rPr>
        <w:drawing>
          <wp:inline distT="0" distB="0" distL="0" distR="0" wp14:anchorId="2696FF02" wp14:editId="5B5F2E2B">
            <wp:extent cx="5472000" cy="6803386"/>
            <wp:effectExtent l="0" t="0" r="0" b="0"/>
            <wp:docPr id="26416049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60494" name="Picture 1" descr="A diagram of a company&#10;&#10;AI-generated content may be incorrect."/>
                    <pic:cNvPicPr/>
                  </pic:nvPicPr>
                  <pic:blipFill>
                    <a:blip r:embed="rId13"/>
                    <a:stretch>
                      <a:fillRect/>
                    </a:stretch>
                  </pic:blipFill>
                  <pic:spPr>
                    <a:xfrm>
                      <a:off x="0" y="0"/>
                      <a:ext cx="5472000" cy="6803386"/>
                    </a:xfrm>
                    <a:prstGeom prst="rect">
                      <a:avLst/>
                    </a:prstGeom>
                  </pic:spPr>
                </pic:pic>
              </a:graphicData>
            </a:graphic>
          </wp:inline>
        </w:drawing>
      </w:r>
    </w:p>
    <w:p w14:paraId="53CBF7B6" w14:textId="3A72AD0A" w:rsidR="00104DA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Service Continuity Thresholds. These thresholds define acceptable levels of degraded performance and availability under stress. A threshold might state that a payment processing API must remain available at 99</w:t>
      </w:r>
      <w:r w:rsidR="00620B13">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of normal throughput during partial outages. Defining such thresholds forces architects and operators to design recovery strategies that meet business or public interest requirements.</w:t>
      </w:r>
    </w:p>
    <w:p w14:paraId="5B3ADFF4" w14:textId="77777777" w:rsidR="00E32021" w:rsidRDefault="00E32021" w:rsidP="00A22F03">
      <w:pPr>
        <w:pStyle w:val="NoSpacing"/>
        <w:jc w:val="center"/>
        <w:rPr>
          <w:rFonts w:ascii="Calibri" w:hAnsi="Calibri" w:cs="Calibri"/>
          <w:i/>
          <w:iCs/>
          <w:lang w:eastAsia="en-KE"/>
        </w:rPr>
      </w:pPr>
    </w:p>
    <w:p w14:paraId="4A6B9C33" w14:textId="77777777" w:rsidR="00E32021" w:rsidRDefault="00E32021" w:rsidP="00A22F03">
      <w:pPr>
        <w:pStyle w:val="NoSpacing"/>
        <w:jc w:val="center"/>
        <w:rPr>
          <w:rFonts w:ascii="Calibri" w:hAnsi="Calibri" w:cs="Calibri"/>
          <w:i/>
          <w:iCs/>
          <w:lang w:eastAsia="en-KE"/>
        </w:rPr>
      </w:pPr>
    </w:p>
    <w:p w14:paraId="2A66AB16" w14:textId="206EA45E"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 xml:space="preserve">Data Integrity Loss Metrics. These measure the rate and scope of integrity violations, for example the volume of records with integrity errors or the duration for which data was susceptible to tampering. Because data corruption or tampering can have long tail effects, metrics that capture integrity exposure and the time to detect integrity loss are </w:t>
      </w:r>
      <w:r w:rsidR="00554B19" w:rsidRPr="004C1335">
        <w:rPr>
          <w:rFonts w:ascii="Calibri" w:eastAsia="Times New Roman" w:hAnsi="Calibri" w:cs="Calibri"/>
          <w:kern w:val="0"/>
          <w:lang w:eastAsia="en-KE"/>
          <w14:ligatures w14:val="none"/>
        </w:rPr>
        <w:t>critical. Resilience</w:t>
      </w:r>
      <w:r w:rsidRPr="004C1335">
        <w:rPr>
          <w:rFonts w:ascii="Calibri" w:eastAsia="Times New Roman" w:hAnsi="Calibri" w:cs="Calibri"/>
          <w:kern w:val="0"/>
          <w:lang w:eastAsia="en-KE"/>
          <w14:ligatures w14:val="none"/>
        </w:rPr>
        <w:t xml:space="preserve"> Testing Coverage. Metrics should also capture how much of the system is exercised by resilience testing. For example, percentage of production traffic covered by chaos experiments or proportion of critical workflows included in adversarial simulations. Measuring test coverage connects the theoretical design to operational validation.</w:t>
      </w:r>
      <w:r w:rsidR="00C5071C">
        <w:rPr>
          <w:rFonts w:ascii="Calibri" w:eastAsia="Times New Roman" w:hAnsi="Calibri" w:cs="Calibri"/>
          <w:kern w:val="0"/>
          <w:lang w:eastAsia="en-KE"/>
          <w14:ligatures w14:val="none"/>
        </w:rPr>
        <w:t xml:space="preserve"> </w:t>
      </w:r>
    </w:p>
    <w:p w14:paraId="7E24B66C" w14:textId="6A6810A0" w:rsidR="00F27057" w:rsidRPr="00BE247E" w:rsidRDefault="00F27057" w:rsidP="00F27057">
      <w:pPr>
        <w:spacing w:before="100" w:beforeAutospacing="1" w:after="100" w:afterAutospacing="1" w:line="240" w:lineRule="auto"/>
        <w:jc w:val="both"/>
        <w:rPr>
          <w:rFonts w:ascii="Calibri" w:eastAsia="Times New Roman" w:hAnsi="Calibri" w:cs="Calibri"/>
          <w:i/>
          <w:iCs/>
          <w:kern w:val="0"/>
          <w:lang w:eastAsia="en-KE"/>
          <w14:ligatures w14:val="none"/>
        </w:rPr>
      </w:pPr>
      <w:r w:rsidRPr="00BE247E">
        <w:rPr>
          <w:rFonts w:ascii="Calibri" w:eastAsia="Times New Roman" w:hAnsi="Calibri" w:cs="Calibri"/>
          <w:i/>
          <w:iCs/>
          <w:kern w:val="0"/>
          <w:lang w:eastAsia="en-KE"/>
          <w14:ligatures w14:val="none"/>
        </w:rPr>
        <w:t>Testing as proof: chaos engineering and adversarial simulations</w:t>
      </w:r>
    </w:p>
    <w:p w14:paraId="39137129" w14:textId="0118D160"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Testing resilience under realistic conditions is essential. Traditional testing approaches emphasize correctness under expected loads and unit faults. Chaos engineering extends testing into the domain of probabilistic and adversarial failures by injecting controlled failures into production or production-like environments to validate that the system behaves acceptably. The practices pioneered by large web scale firms such as Netflix are well documented. Chaos engineering has evolved from ad hoc scripts to structured disciplines and tools that can run reproducible fault experiments, measure outcomes and integrate findings into deployment pipelines. Empirical literature and practitioner accounts show that disciplined chaos engineering reduces unexpected downtime by uncovering hidden brittle dependencies and improving fallback </w:t>
      </w:r>
      <w:r w:rsidR="001957CB" w:rsidRPr="004C1335">
        <w:rPr>
          <w:rFonts w:ascii="Calibri" w:eastAsia="Times New Roman" w:hAnsi="Calibri" w:cs="Calibri"/>
          <w:kern w:val="0"/>
          <w:lang w:eastAsia="en-KE"/>
          <w14:ligatures w14:val="none"/>
        </w:rPr>
        <w:t>behaviour</w:t>
      </w:r>
      <w:r w:rsidRPr="004C1335">
        <w:rPr>
          <w:rFonts w:ascii="Calibri" w:eastAsia="Times New Roman" w:hAnsi="Calibri" w:cs="Calibri"/>
          <w:kern w:val="0"/>
          <w:lang w:eastAsia="en-KE"/>
          <w14:ligatures w14:val="none"/>
        </w:rPr>
        <w:t xml:space="preserve">. </w:t>
      </w:r>
    </w:p>
    <w:p w14:paraId="4F0DE3EF" w14:textId="77777777" w:rsidR="00E32021"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Adversarial simulations complement chaos engineering by focusing on attack scenarios. These simulations include red team exercises, tabletop incident response rehearsals and full technical exercises that combine attack vectors with infrastructure degradation. Adversarial approaches test both technical recovery mechanisms and organizational coordination, including escalation paths and communication procedures</w:t>
      </w:r>
      <w:sdt>
        <w:sdtPr>
          <w:rPr>
            <w:rFonts w:ascii="Calibri" w:eastAsia="Times New Roman" w:hAnsi="Calibri" w:cs="Calibri"/>
            <w:kern w:val="0"/>
            <w:lang w:eastAsia="en-KE"/>
            <w14:ligatures w14:val="none"/>
          </w:rPr>
          <w:id w:val="2127045979"/>
          <w:citation/>
        </w:sdtPr>
        <w:sdtContent>
          <w:r w:rsidR="00A455E3" w:rsidRPr="004C1335">
            <w:rPr>
              <w:rFonts w:ascii="Calibri" w:eastAsia="Times New Roman" w:hAnsi="Calibri" w:cs="Calibri"/>
              <w:kern w:val="0"/>
              <w:lang w:eastAsia="en-KE"/>
              <w14:ligatures w14:val="none"/>
            </w:rPr>
            <w:fldChar w:fldCharType="begin"/>
          </w:r>
          <w:r w:rsidR="00A455E3" w:rsidRPr="004C1335">
            <w:rPr>
              <w:rFonts w:ascii="Calibri" w:eastAsia="Times New Roman" w:hAnsi="Calibri" w:cs="Calibri"/>
              <w:kern w:val="0"/>
              <w:lang w:val="en-US" w:eastAsia="en-KE"/>
              <w14:ligatures w14:val="none"/>
            </w:rPr>
            <w:instrText xml:space="preserve"> CITATION Bas17 \l 1033 </w:instrText>
          </w:r>
          <w:r w:rsidR="00A455E3" w:rsidRPr="004C1335">
            <w:rPr>
              <w:rFonts w:ascii="Calibri" w:eastAsia="Times New Roman" w:hAnsi="Calibri" w:cs="Calibri"/>
              <w:kern w:val="0"/>
              <w:lang w:eastAsia="en-KE"/>
              <w14:ligatures w14:val="none"/>
            </w:rPr>
            <w:fldChar w:fldCharType="separate"/>
          </w:r>
          <w:r w:rsidR="00A455E3" w:rsidRPr="004C1335">
            <w:rPr>
              <w:rFonts w:ascii="Calibri" w:eastAsia="Times New Roman" w:hAnsi="Calibri" w:cs="Calibri"/>
              <w:noProof/>
              <w:kern w:val="0"/>
              <w:lang w:val="en-US" w:eastAsia="en-KE"/>
              <w14:ligatures w14:val="none"/>
            </w:rPr>
            <w:t xml:space="preserve"> (Basiri, 2017)</w:t>
          </w:r>
          <w:r w:rsidR="00A455E3" w:rsidRPr="004C1335">
            <w:rPr>
              <w:rFonts w:ascii="Calibri" w:eastAsia="Times New Roman" w:hAnsi="Calibri" w:cs="Calibri"/>
              <w:kern w:val="0"/>
              <w:lang w:eastAsia="en-KE"/>
              <w14:ligatures w14:val="none"/>
            </w:rPr>
            <w:fldChar w:fldCharType="end"/>
          </w:r>
        </w:sdtContent>
      </w:sdt>
      <w:r w:rsidR="00A455E3" w:rsidRPr="004C1335">
        <w:rPr>
          <w:rFonts w:ascii="Calibri" w:eastAsia="Times New Roman" w:hAnsi="Calibri" w:cs="Calibri"/>
          <w:kern w:val="0"/>
          <w:lang w:eastAsia="en-KE"/>
          <w14:ligatures w14:val="none"/>
        </w:rPr>
        <w:t>.</w:t>
      </w:r>
      <w:r w:rsidR="008911B7">
        <w:rPr>
          <w:rFonts w:ascii="Calibri" w:eastAsia="Times New Roman" w:hAnsi="Calibri" w:cs="Calibri"/>
          <w:kern w:val="0"/>
          <w:lang w:eastAsia="en-KE"/>
          <w14:ligatures w14:val="none"/>
        </w:rPr>
        <w:t xml:space="preserve"> </w:t>
      </w:r>
    </w:p>
    <w:p w14:paraId="54C23872" w14:textId="6E977431"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From a regulatory perspective, requiring resilience testing as part of compliance regimes provides evidence that resilience measures are not merely theoretical but </w:t>
      </w:r>
      <w:proofErr w:type="gramStart"/>
      <w:r w:rsidRPr="004C1335">
        <w:rPr>
          <w:rFonts w:ascii="Calibri" w:eastAsia="Times New Roman" w:hAnsi="Calibri" w:cs="Calibri"/>
          <w:kern w:val="0"/>
          <w:lang w:eastAsia="en-KE"/>
          <w14:ligatures w14:val="none"/>
        </w:rPr>
        <w:t>actually</w:t>
      </w:r>
      <w:r w:rsidR="00E32021">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perform</w:t>
      </w:r>
      <w:proofErr w:type="gramEnd"/>
      <w:r w:rsidRPr="004C1335">
        <w:rPr>
          <w:rFonts w:ascii="Calibri" w:eastAsia="Times New Roman" w:hAnsi="Calibri" w:cs="Calibri"/>
          <w:kern w:val="0"/>
          <w:lang w:eastAsia="en-KE"/>
          <w14:ligatures w14:val="none"/>
        </w:rPr>
        <w:t xml:space="preserve"> under stress. Embedding testing into governance creates an auditable trail of experiments, outcomes and remediation actions.</w:t>
      </w:r>
    </w:p>
    <w:p w14:paraId="1E3ADACE" w14:textId="617BF4DF"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Governance primitives that support resilience</w:t>
      </w:r>
    </w:p>
    <w:p w14:paraId="73E19CF8" w14:textId="6D3049AD"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Technical design and operational metrics are necessary but insufficient without governance mechanisms that ensure sustained implementation. Key governance primitives include the </w:t>
      </w:r>
      <w:r w:rsidR="007C66D9" w:rsidRPr="004C1335">
        <w:rPr>
          <w:rFonts w:ascii="Calibri" w:eastAsia="Times New Roman" w:hAnsi="Calibri" w:cs="Calibri"/>
          <w:kern w:val="0"/>
          <w:lang w:eastAsia="en-KE"/>
          <w14:ligatures w14:val="none"/>
        </w:rPr>
        <w:t>following</w:t>
      </w:r>
      <w:r w:rsidR="007C66D9">
        <w:rPr>
          <w:rFonts w:ascii="Calibri" w:eastAsia="Times New Roman" w:hAnsi="Calibri" w:cs="Calibri"/>
          <w:kern w:val="0"/>
          <w:lang w:eastAsia="en-KE"/>
          <w14:ligatures w14:val="none"/>
        </w:rPr>
        <w:t>:</w:t>
      </w:r>
      <w:r w:rsidR="0001777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Resilience Audits and Reporting. Audit regimes should assess capability against resilience metrics, not merely adherence to static security controls. Audits should examine architecture diagrams, backup and failover test results, MTTR statistics and chaos engineering outcomes. Regulators could require periodic resilience reports that complement breach notifications and privacy impact assessments.</w:t>
      </w:r>
    </w:p>
    <w:p w14:paraId="426B62C5" w14:textId="77777777" w:rsidR="00977BCA"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 xml:space="preserve">Computer Emergency Response Teams and CSIRTs. National and sectoral CERTs or CSIRTs play a critical role in coordinating incident detection, information sharing and cross-organisational response. CERTs provide early warning, vulnerability advisories and incident coordination that reduce mean time to remediate and restore. Strengthening CERT capacities and formalizing public-private coordination are therefore governance priorities </w:t>
      </w:r>
      <w:sdt>
        <w:sdtPr>
          <w:rPr>
            <w:rFonts w:ascii="Calibri" w:eastAsia="Times New Roman" w:hAnsi="Calibri" w:cs="Calibri"/>
            <w:kern w:val="0"/>
            <w:lang w:eastAsia="en-KE"/>
            <w14:ligatures w14:val="none"/>
          </w:rPr>
          <w:id w:val="-848104316"/>
          <w:citation/>
        </w:sdtPr>
        <w:sdtContent>
          <w:r w:rsidR="00254D9B" w:rsidRPr="004C1335">
            <w:rPr>
              <w:rFonts w:ascii="Calibri" w:eastAsia="Times New Roman" w:hAnsi="Calibri" w:cs="Calibri"/>
              <w:kern w:val="0"/>
              <w:lang w:eastAsia="en-KE"/>
              <w14:ligatures w14:val="none"/>
            </w:rPr>
            <w:fldChar w:fldCharType="begin"/>
          </w:r>
          <w:r w:rsidR="00254D9B" w:rsidRPr="004C1335">
            <w:rPr>
              <w:rFonts w:ascii="Calibri" w:eastAsia="Times New Roman" w:hAnsi="Calibri" w:cs="Calibri"/>
              <w:kern w:val="0"/>
              <w:lang w:val="en-US" w:eastAsia="en-KE"/>
              <w14:ligatures w14:val="none"/>
            </w:rPr>
            <w:instrText xml:space="preserve"> CITATION Pet24 \l 1033 </w:instrText>
          </w:r>
          <w:r w:rsidR="00254D9B" w:rsidRPr="004C1335">
            <w:rPr>
              <w:rFonts w:ascii="Calibri" w:eastAsia="Times New Roman" w:hAnsi="Calibri" w:cs="Calibri"/>
              <w:kern w:val="0"/>
              <w:lang w:eastAsia="en-KE"/>
              <w14:ligatures w14:val="none"/>
            </w:rPr>
            <w:fldChar w:fldCharType="separate"/>
          </w:r>
          <w:r w:rsidR="00254D9B" w:rsidRPr="004C1335">
            <w:rPr>
              <w:rFonts w:ascii="Calibri" w:eastAsia="Times New Roman" w:hAnsi="Calibri" w:cs="Calibri"/>
              <w:noProof/>
              <w:kern w:val="0"/>
              <w:lang w:val="en-US" w:eastAsia="en-KE"/>
              <w14:ligatures w14:val="none"/>
            </w:rPr>
            <w:t>(Sullivan, 2024)</w:t>
          </w:r>
          <w:r w:rsidR="00254D9B" w:rsidRPr="004C1335">
            <w:rPr>
              <w:rFonts w:ascii="Calibri" w:eastAsia="Times New Roman" w:hAnsi="Calibri" w:cs="Calibri"/>
              <w:kern w:val="0"/>
              <w:lang w:eastAsia="en-KE"/>
              <w14:ligatures w14:val="none"/>
            </w:rPr>
            <w:fldChar w:fldCharType="end"/>
          </w:r>
        </w:sdtContent>
      </w:sdt>
      <w:r w:rsidR="00254D9B" w:rsidRPr="004C1335">
        <w:rPr>
          <w:rFonts w:ascii="Calibri" w:eastAsia="Times New Roman" w:hAnsi="Calibri" w:cs="Calibri"/>
          <w:kern w:val="0"/>
          <w:lang w:eastAsia="en-KE"/>
          <w14:ligatures w14:val="none"/>
        </w:rPr>
        <w:t>.</w:t>
      </w:r>
    </w:p>
    <w:p w14:paraId="51614424" w14:textId="77777777" w:rsidR="00977BCA"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Public-Private Coordination and Cross-Border Response. Data systems are transnational by design. Cross-border incident response agreements, shared playbooks and regional coordination mechanisms reduce response fragmentation and ensure that critical services are restored despite jurisdictional complexities. </w:t>
      </w:r>
    </w:p>
    <w:p w14:paraId="1596B87C" w14:textId="77777777" w:rsidR="00977BCA"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African Union Convention on Cyber Security and Personal Data Protection already identifies cross-border coordination as an objective, and resilience governance should operationalize that objective into regional mutual assistance and incident sharing frameworks</w:t>
      </w:r>
      <w:sdt>
        <w:sdtPr>
          <w:rPr>
            <w:rFonts w:ascii="Calibri" w:eastAsia="Times New Roman" w:hAnsi="Calibri" w:cs="Calibri"/>
            <w:kern w:val="0"/>
            <w:lang w:eastAsia="en-KE"/>
            <w14:ligatures w14:val="none"/>
          </w:rPr>
          <w:id w:val="469714307"/>
          <w:citation/>
        </w:sdtPr>
        <w:sdtContent>
          <w:r w:rsidR="004F4B6B" w:rsidRPr="004C1335">
            <w:rPr>
              <w:rFonts w:ascii="Calibri" w:eastAsia="Times New Roman" w:hAnsi="Calibri" w:cs="Calibri"/>
              <w:kern w:val="0"/>
              <w:lang w:eastAsia="en-KE"/>
              <w14:ligatures w14:val="none"/>
            </w:rPr>
            <w:fldChar w:fldCharType="begin"/>
          </w:r>
          <w:r w:rsidR="004F4B6B" w:rsidRPr="004C1335">
            <w:rPr>
              <w:rFonts w:ascii="Calibri" w:eastAsia="Times New Roman" w:hAnsi="Calibri" w:cs="Calibri"/>
              <w:kern w:val="0"/>
              <w:lang w:val="en-US" w:eastAsia="en-KE"/>
              <w14:ligatures w14:val="none"/>
            </w:rPr>
            <w:instrText xml:space="preserve"> CITATION Afr14 \l 1033 </w:instrText>
          </w:r>
          <w:r w:rsidR="004F4B6B" w:rsidRPr="004C1335">
            <w:rPr>
              <w:rFonts w:ascii="Calibri" w:eastAsia="Times New Roman" w:hAnsi="Calibri" w:cs="Calibri"/>
              <w:kern w:val="0"/>
              <w:lang w:eastAsia="en-KE"/>
              <w14:ligatures w14:val="none"/>
            </w:rPr>
            <w:fldChar w:fldCharType="separate"/>
          </w:r>
          <w:r w:rsidR="004F4B6B" w:rsidRPr="004C1335">
            <w:rPr>
              <w:rFonts w:ascii="Calibri" w:eastAsia="Times New Roman" w:hAnsi="Calibri" w:cs="Calibri"/>
              <w:noProof/>
              <w:kern w:val="0"/>
              <w:lang w:val="en-US" w:eastAsia="en-KE"/>
              <w14:ligatures w14:val="none"/>
            </w:rPr>
            <w:t xml:space="preserve"> (Union, 2014)</w:t>
          </w:r>
          <w:r w:rsidR="004F4B6B" w:rsidRPr="004C1335">
            <w:rPr>
              <w:rFonts w:ascii="Calibri" w:eastAsia="Times New Roman" w:hAnsi="Calibri" w:cs="Calibri"/>
              <w:kern w:val="0"/>
              <w:lang w:eastAsia="en-KE"/>
              <w14:ligatures w14:val="none"/>
            </w:rPr>
            <w:fldChar w:fldCharType="end"/>
          </w:r>
        </w:sdtContent>
      </w:sdt>
      <w:r w:rsidR="004F4B6B" w:rsidRPr="004C1335">
        <w:rPr>
          <w:rFonts w:ascii="Calibri" w:eastAsia="Times New Roman" w:hAnsi="Calibri" w:cs="Calibri"/>
          <w:kern w:val="0"/>
          <w:lang w:eastAsia="en-KE"/>
          <w14:ligatures w14:val="none"/>
        </w:rPr>
        <w:t>.</w:t>
      </w:r>
      <w:r w:rsidR="00977BCA">
        <w:rPr>
          <w:rFonts w:ascii="Calibri" w:eastAsia="Times New Roman" w:hAnsi="Calibri" w:cs="Calibri"/>
          <w:kern w:val="0"/>
          <w:lang w:eastAsia="en-KE"/>
          <w14:ligatures w14:val="none"/>
        </w:rPr>
        <w:t xml:space="preserve"> </w:t>
      </w:r>
    </w:p>
    <w:p w14:paraId="2E172900" w14:textId="2ACD0071"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Capability-based Regulation. Traditional compliance regimes rely on prescriptive controls. Capability-based regulation requires regulated entities to demonstrate particular capabilities, such as maintaining MTTR below a defined target for specified services or demonstrating periodic resilience tests. This regulatory model aligns incentives toward outcomes rather than checkbox compliance.</w:t>
      </w:r>
    </w:p>
    <w:p w14:paraId="32D085D6" w14:textId="6CB7C505"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Conceptual synthesis: from principles to practice</w:t>
      </w:r>
    </w:p>
    <w:p w14:paraId="3EF03F47" w14:textId="77777777" w:rsidR="00E32021"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Resilience-by-Design paradigm integrates the technical primitives, metrics and governance primitives described above. It does so through three linked propositions. First, resilience must be an explicit design requirement in architecture documents and procurement. Second, resilience must be continuously validated through measurable tests and exercises that are auditable by regulators.</w:t>
      </w:r>
      <w:r w:rsidR="00F26BB9">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Third, resilience obligations should be codified into governance instruments that include CERT coordination, resilience audits and capability-based regulation. </w:t>
      </w:r>
    </w:p>
    <w:p w14:paraId="379EF90B" w14:textId="60E4A73A"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This tripartite framing converts abstract resilience principles into operational steps that firms and regulators can implement and verify.</w:t>
      </w:r>
    </w:p>
    <w:p w14:paraId="1F545175" w14:textId="36EDA370"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The literature on resilience in distributed cloud architectures, industry reliability guides and regulatory texts supports these propositions. Engineering research demonstrates the technical feasibility and benefits of multi-cloud redundancy, fault tolerant patterns and chaos testing. Legal instruments and policy analyses show an emerging appetite on the African continent for harmonized cyber and data governance, although most instruments to date emphasize privacy and anti-crime measures rather than resilience as a continuous operational capability. The Resilience-by-Design paradigm therefore proposes a synthesis: take the well-developed engineering practices of resilience, pair them with measurable governance obligations and then adapt both to the institutional and infrastructural realities present in African jurisdictions </w:t>
      </w:r>
      <w:sdt>
        <w:sdtPr>
          <w:rPr>
            <w:rFonts w:ascii="Calibri" w:eastAsia="Times New Roman" w:hAnsi="Calibri" w:cs="Calibri"/>
            <w:kern w:val="0"/>
            <w:lang w:eastAsia="en-KE"/>
            <w14:ligatures w14:val="none"/>
          </w:rPr>
          <w:id w:val="-815641907"/>
          <w:citation/>
        </w:sdtPr>
        <w:sdtContent>
          <w:r w:rsidR="005C502F" w:rsidRPr="004C1335">
            <w:rPr>
              <w:rFonts w:ascii="Calibri" w:eastAsia="Times New Roman" w:hAnsi="Calibri" w:cs="Calibri"/>
              <w:kern w:val="0"/>
              <w:lang w:eastAsia="en-KE"/>
              <w14:ligatures w14:val="none"/>
            </w:rPr>
            <w:fldChar w:fldCharType="begin"/>
          </w:r>
          <w:r w:rsidR="005C502F" w:rsidRPr="004C1335">
            <w:rPr>
              <w:rFonts w:ascii="Calibri" w:eastAsia="Times New Roman" w:hAnsi="Calibri" w:cs="Calibri"/>
              <w:kern w:val="0"/>
              <w:lang w:val="en-US" w:eastAsia="en-KE"/>
              <w14:ligatures w14:val="none"/>
            </w:rPr>
            <w:instrText xml:space="preserve"> CITATION Bal24 \l 1033 </w:instrText>
          </w:r>
          <w:r w:rsidR="005C502F" w:rsidRPr="004C1335">
            <w:rPr>
              <w:rFonts w:ascii="Calibri" w:eastAsia="Times New Roman" w:hAnsi="Calibri" w:cs="Calibri"/>
              <w:kern w:val="0"/>
              <w:lang w:eastAsia="en-KE"/>
              <w14:ligatures w14:val="none"/>
            </w:rPr>
            <w:fldChar w:fldCharType="separate"/>
          </w:r>
          <w:r w:rsidR="005C502F" w:rsidRPr="004C1335">
            <w:rPr>
              <w:rFonts w:ascii="Calibri" w:eastAsia="Times New Roman" w:hAnsi="Calibri" w:cs="Calibri"/>
              <w:noProof/>
              <w:kern w:val="0"/>
              <w:lang w:val="en-US" w:eastAsia="en-KE"/>
              <w14:ligatures w14:val="none"/>
            </w:rPr>
            <w:t>(Arugula, 2024)</w:t>
          </w:r>
          <w:r w:rsidR="005C502F" w:rsidRPr="004C1335">
            <w:rPr>
              <w:rFonts w:ascii="Calibri" w:eastAsia="Times New Roman" w:hAnsi="Calibri" w:cs="Calibri"/>
              <w:kern w:val="0"/>
              <w:lang w:eastAsia="en-KE"/>
              <w14:ligatures w14:val="none"/>
            </w:rPr>
            <w:fldChar w:fldCharType="end"/>
          </w:r>
        </w:sdtContent>
      </w:sdt>
      <w:sdt>
        <w:sdtPr>
          <w:rPr>
            <w:rFonts w:ascii="Calibri" w:eastAsia="Times New Roman" w:hAnsi="Calibri" w:cs="Calibri"/>
            <w:kern w:val="0"/>
            <w:lang w:eastAsia="en-KE"/>
            <w14:ligatures w14:val="none"/>
          </w:rPr>
          <w:id w:val="1883672618"/>
          <w:citation/>
        </w:sdtPr>
        <w:sdtContent>
          <w:r w:rsidR="001532AD" w:rsidRPr="004C1335">
            <w:rPr>
              <w:rFonts w:ascii="Calibri" w:eastAsia="Times New Roman" w:hAnsi="Calibri" w:cs="Calibri"/>
              <w:kern w:val="0"/>
              <w:lang w:eastAsia="en-KE"/>
              <w14:ligatures w14:val="none"/>
            </w:rPr>
            <w:fldChar w:fldCharType="begin"/>
          </w:r>
          <w:r w:rsidR="001532AD" w:rsidRPr="004C1335">
            <w:rPr>
              <w:rFonts w:ascii="Calibri" w:eastAsia="Times New Roman" w:hAnsi="Calibri" w:cs="Calibri"/>
              <w:kern w:val="0"/>
              <w:lang w:val="en-US" w:eastAsia="en-KE"/>
              <w14:ligatures w14:val="none"/>
            </w:rPr>
            <w:instrText xml:space="preserve"> CITATION Ram25 \l 1033 </w:instrText>
          </w:r>
          <w:r w:rsidR="001532AD" w:rsidRPr="004C1335">
            <w:rPr>
              <w:rFonts w:ascii="Calibri" w:eastAsia="Times New Roman" w:hAnsi="Calibri" w:cs="Calibri"/>
              <w:kern w:val="0"/>
              <w:lang w:eastAsia="en-KE"/>
              <w14:ligatures w14:val="none"/>
            </w:rPr>
            <w:fldChar w:fldCharType="separate"/>
          </w:r>
          <w:r w:rsidR="001532AD" w:rsidRPr="004C1335">
            <w:rPr>
              <w:rFonts w:ascii="Calibri" w:eastAsia="Times New Roman" w:hAnsi="Calibri" w:cs="Calibri"/>
              <w:noProof/>
              <w:kern w:val="0"/>
              <w:lang w:val="en-US" w:eastAsia="en-KE"/>
              <w14:ligatures w14:val="none"/>
            </w:rPr>
            <w:t xml:space="preserve"> (Hariharan, 2025)</w:t>
          </w:r>
          <w:r w:rsidR="001532AD" w:rsidRPr="004C1335">
            <w:rPr>
              <w:rFonts w:ascii="Calibri" w:eastAsia="Times New Roman" w:hAnsi="Calibri" w:cs="Calibri"/>
              <w:kern w:val="0"/>
              <w:lang w:eastAsia="en-KE"/>
              <w14:ligatures w14:val="none"/>
            </w:rPr>
            <w:fldChar w:fldCharType="end"/>
          </w:r>
        </w:sdtContent>
      </w:sdt>
      <w:r w:rsidR="008F2164">
        <w:rPr>
          <w:rFonts w:ascii="Calibri" w:eastAsia="Times New Roman" w:hAnsi="Calibri" w:cs="Calibri"/>
          <w:kern w:val="0"/>
          <w:lang w:eastAsia="en-KE"/>
          <w14:ligatures w14:val="none"/>
        </w:rPr>
        <w:t>.</w:t>
      </w:r>
    </w:p>
    <w:p w14:paraId="00C5A6D0" w14:textId="4E050799" w:rsidR="00F27057"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Implications for empirical work</w:t>
      </w:r>
    </w:p>
    <w:p w14:paraId="4B6ECFA2" w14:textId="6005FEF4" w:rsidR="001A4435" w:rsidRPr="004C1335" w:rsidRDefault="00F27057" w:rsidP="00F27057">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Operationalizing Resilience-by-Design requires empirical measures that are appropriate for diverse contexts. Future empirical work should develop validated instruments for measuring MTTR, data integrity loss and test coverage that are sensitive to sectoral differences and resource constraints. Comparative studies across African countries could evaluate how regulatory frameworks, market structure and infrastructure resilience interact to produce different resilience outcomes.</w:t>
      </w:r>
      <w:r w:rsidR="00E2571E">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Such empirical grounding will support the policy recommendations developed later in this paper.</w:t>
      </w:r>
    </w:p>
    <w:p w14:paraId="79AA4F38" w14:textId="1673A27A" w:rsidR="002544EB" w:rsidRPr="00BE56E4" w:rsidRDefault="005E08B1" w:rsidP="00BE56E4">
      <w:pPr>
        <w:pStyle w:val="Heading1"/>
        <w:jc w:val="center"/>
        <w:rPr>
          <w:rFonts w:eastAsia="Times New Roman"/>
          <w:sz w:val="32"/>
          <w:szCs w:val="32"/>
          <w:lang w:eastAsia="en-KE"/>
        </w:rPr>
      </w:pPr>
      <w:bookmarkStart w:id="5" w:name="_Toc213772607"/>
      <w:r>
        <w:rPr>
          <w:rFonts w:eastAsia="Times New Roman"/>
          <w:sz w:val="32"/>
          <w:szCs w:val="32"/>
          <w:lang w:eastAsia="en-KE"/>
        </w:rPr>
        <w:t xml:space="preserve">THE </w:t>
      </w:r>
      <w:r w:rsidR="00BE56E4" w:rsidRPr="00BE56E4">
        <w:rPr>
          <w:rFonts w:eastAsia="Times New Roman"/>
          <w:sz w:val="32"/>
          <w:szCs w:val="32"/>
          <w:lang w:eastAsia="en-KE"/>
        </w:rPr>
        <w:t>AFRICAN LEGAL AND POLICY CONTEXT</w:t>
      </w:r>
      <w:bookmarkEnd w:id="5"/>
    </w:p>
    <w:p w14:paraId="15AE153A" w14:textId="56FC7C20" w:rsidR="002544EB" w:rsidRPr="004C1335" w:rsidRDefault="002544EB" w:rsidP="002544EB">
      <w:pPr>
        <w:spacing w:before="100" w:beforeAutospacing="1" w:after="100" w:afterAutospacing="1" w:line="240" w:lineRule="auto"/>
        <w:jc w:val="both"/>
        <w:rPr>
          <w:rFonts w:ascii="Calibri" w:eastAsia="Times New Roman" w:hAnsi="Calibri" w:cs="Calibri"/>
          <w:b/>
          <w:bCs/>
          <w:kern w:val="0"/>
          <w:lang w:eastAsia="en-KE"/>
          <w14:ligatures w14:val="none"/>
        </w:rPr>
      </w:pPr>
      <w:r w:rsidRPr="004C1335">
        <w:rPr>
          <w:rFonts w:ascii="Calibri" w:eastAsia="Times New Roman" w:hAnsi="Calibri" w:cs="Calibri"/>
          <w:b/>
          <w:bCs/>
          <w:kern w:val="0"/>
          <w:lang w:eastAsia="en-KE"/>
          <w14:ligatures w14:val="none"/>
        </w:rPr>
        <w:t>Overview</w:t>
      </w:r>
    </w:p>
    <w:p w14:paraId="52710B8A" w14:textId="32AAC546" w:rsidR="002544EB" w:rsidRPr="004C1335" w:rsidRDefault="002544EB" w:rsidP="002544EB">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African states have made significant strides in establishing data protection and cyber-security frameworks during the past decade. National statutes, regional instruments and sectoral regulations now shape how personal data is processed and how cyber incidents are handled. Nevertheless, many instruments prioritize privacy, data subject rights and criminalization of cybercrime, while resilience as an explicit, measurable regulatory obligation is less visible. The analysis that follows examines three relevant legal sources: Kenya’s Data Protection Act 2019</w:t>
      </w:r>
      <w:sdt>
        <w:sdtPr>
          <w:rPr>
            <w:rFonts w:ascii="Calibri" w:eastAsia="Times New Roman" w:hAnsi="Calibri" w:cs="Calibri"/>
            <w:kern w:val="0"/>
            <w:lang w:eastAsia="en-KE"/>
            <w14:ligatures w14:val="none"/>
          </w:rPr>
          <w:id w:val="-340864423"/>
          <w:citation/>
        </w:sdtPr>
        <w:sdtContent>
          <w:r w:rsidRPr="004C1335">
            <w:rPr>
              <w:rFonts w:ascii="Calibri" w:eastAsia="Times New Roman" w:hAnsi="Calibri" w:cs="Calibri"/>
              <w:kern w:val="0"/>
              <w:lang w:eastAsia="en-KE"/>
              <w14:ligatures w14:val="none"/>
            </w:rPr>
            <w:fldChar w:fldCharType="begin"/>
          </w:r>
          <w:r w:rsidRPr="004C1335">
            <w:rPr>
              <w:rFonts w:ascii="Calibri" w:eastAsia="Times New Roman" w:hAnsi="Calibri" w:cs="Calibri"/>
              <w:kern w:val="0"/>
              <w:lang w:val="en-US" w:eastAsia="en-KE"/>
              <w14:ligatures w14:val="none"/>
            </w:rPr>
            <w:instrText xml:space="preserve"> CITATION The19 \l 1033 </w:instrText>
          </w:r>
          <w:r w:rsidRPr="004C1335">
            <w:rPr>
              <w:rFonts w:ascii="Calibri" w:eastAsia="Times New Roman" w:hAnsi="Calibri" w:cs="Calibri"/>
              <w:kern w:val="0"/>
              <w:lang w:eastAsia="en-KE"/>
              <w14:ligatures w14:val="none"/>
            </w:rPr>
            <w:fldChar w:fldCharType="separate"/>
          </w:r>
          <w:r w:rsidRPr="004C1335">
            <w:rPr>
              <w:rFonts w:ascii="Calibri" w:eastAsia="Times New Roman" w:hAnsi="Calibri" w:cs="Calibri"/>
              <w:noProof/>
              <w:kern w:val="0"/>
              <w:lang w:val="en-US" w:eastAsia="en-KE"/>
              <w14:ligatures w14:val="none"/>
            </w:rPr>
            <w:t xml:space="preserve"> (Kenya, 2019)</w:t>
          </w:r>
          <w:r w:rsidRPr="004C1335">
            <w:rPr>
              <w:rFonts w:ascii="Calibri" w:eastAsia="Times New Roman" w:hAnsi="Calibri" w:cs="Calibri"/>
              <w:kern w:val="0"/>
              <w:lang w:eastAsia="en-KE"/>
              <w14:ligatures w14:val="none"/>
            </w:rPr>
            <w:fldChar w:fldCharType="end"/>
          </w:r>
        </w:sdtContent>
      </w:sdt>
      <w:r w:rsidRPr="004C1335">
        <w:rPr>
          <w:rFonts w:ascii="Calibri" w:eastAsia="Times New Roman" w:hAnsi="Calibri" w:cs="Calibri"/>
          <w:kern w:val="0"/>
          <w:lang w:eastAsia="en-KE"/>
          <w14:ligatures w14:val="none"/>
        </w:rPr>
        <w:t>, the African Union Convention on Cyber Security and Personal Data Protection (the Malabo Convention)</w:t>
      </w:r>
      <w:sdt>
        <w:sdtPr>
          <w:rPr>
            <w:rFonts w:ascii="Calibri" w:eastAsia="Times New Roman" w:hAnsi="Calibri" w:cs="Calibri"/>
            <w:kern w:val="0"/>
            <w:lang w:eastAsia="en-KE"/>
            <w14:ligatures w14:val="none"/>
          </w:rPr>
          <w:id w:val="-9456772"/>
          <w:citation/>
        </w:sdtPr>
        <w:sdtContent>
          <w:r w:rsidR="00146EAA" w:rsidRPr="004C1335">
            <w:rPr>
              <w:rFonts w:ascii="Calibri" w:eastAsia="Times New Roman" w:hAnsi="Calibri" w:cs="Calibri"/>
              <w:kern w:val="0"/>
              <w:lang w:eastAsia="en-KE"/>
              <w14:ligatures w14:val="none"/>
            </w:rPr>
            <w:fldChar w:fldCharType="begin"/>
          </w:r>
          <w:r w:rsidR="00146EAA" w:rsidRPr="004C1335">
            <w:rPr>
              <w:rFonts w:ascii="Calibri" w:eastAsia="Times New Roman" w:hAnsi="Calibri" w:cs="Calibri"/>
              <w:kern w:val="0"/>
              <w:lang w:val="en-US" w:eastAsia="en-KE"/>
              <w14:ligatures w14:val="none"/>
            </w:rPr>
            <w:instrText xml:space="preserve"> CITATION Afr14 \l 1033 </w:instrText>
          </w:r>
          <w:r w:rsidR="00146EAA" w:rsidRPr="004C1335">
            <w:rPr>
              <w:rFonts w:ascii="Calibri" w:eastAsia="Times New Roman" w:hAnsi="Calibri" w:cs="Calibri"/>
              <w:kern w:val="0"/>
              <w:lang w:eastAsia="en-KE"/>
              <w14:ligatures w14:val="none"/>
            </w:rPr>
            <w:fldChar w:fldCharType="separate"/>
          </w:r>
          <w:r w:rsidR="00146EAA" w:rsidRPr="004C1335">
            <w:rPr>
              <w:rFonts w:ascii="Calibri" w:eastAsia="Times New Roman" w:hAnsi="Calibri" w:cs="Calibri"/>
              <w:noProof/>
              <w:kern w:val="0"/>
              <w:lang w:val="en-US" w:eastAsia="en-KE"/>
              <w14:ligatures w14:val="none"/>
            </w:rPr>
            <w:t xml:space="preserve"> (Union, 2014)</w:t>
          </w:r>
          <w:r w:rsidR="00146EAA" w:rsidRPr="004C1335">
            <w:rPr>
              <w:rFonts w:ascii="Calibri" w:eastAsia="Times New Roman" w:hAnsi="Calibri" w:cs="Calibri"/>
              <w:kern w:val="0"/>
              <w:lang w:eastAsia="en-KE"/>
              <w14:ligatures w14:val="none"/>
            </w:rPr>
            <w:fldChar w:fldCharType="end"/>
          </w:r>
        </w:sdtContent>
      </w:sdt>
      <w:r w:rsidRPr="004C1335">
        <w:rPr>
          <w:rFonts w:ascii="Calibri" w:eastAsia="Times New Roman" w:hAnsi="Calibri" w:cs="Calibri"/>
          <w:kern w:val="0"/>
          <w:lang w:eastAsia="en-KE"/>
          <w14:ligatures w14:val="none"/>
        </w:rPr>
        <w:t>, and South Africa’s Protection of Personal Information Act 2013 (POPIA)</w:t>
      </w:r>
      <w:sdt>
        <w:sdtPr>
          <w:rPr>
            <w:rFonts w:ascii="Calibri" w:eastAsia="Times New Roman" w:hAnsi="Calibri" w:cs="Calibri"/>
            <w:kern w:val="0"/>
            <w:lang w:eastAsia="en-KE"/>
            <w14:ligatures w14:val="none"/>
          </w:rPr>
          <w:id w:val="-335915902"/>
          <w:citation/>
        </w:sdtPr>
        <w:sdtContent>
          <w:r w:rsidR="00C13E69" w:rsidRPr="004C1335">
            <w:rPr>
              <w:rFonts w:ascii="Calibri" w:eastAsia="Times New Roman" w:hAnsi="Calibri" w:cs="Calibri"/>
              <w:kern w:val="0"/>
              <w:lang w:eastAsia="en-KE"/>
              <w14:ligatures w14:val="none"/>
            </w:rPr>
            <w:fldChar w:fldCharType="begin"/>
          </w:r>
          <w:r w:rsidR="00C13E69" w:rsidRPr="004C1335">
            <w:rPr>
              <w:rFonts w:ascii="Calibri" w:eastAsia="Times New Roman" w:hAnsi="Calibri" w:cs="Calibri"/>
              <w:kern w:val="0"/>
              <w:lang w:val="en-US" w:eastAsia="en-KE"/>
              <w14:ligatures w14:val="none"/>
            </w:rPr>
            <w:instrText xml:space="preserve"> CITATION Afr13 \l 1033 </w:instrText>
          </w:r>
          <w:r w:rsidR="00C13E69" w:rsidRPr="004C1335">
            <w:rPr>
              <w:rFonts w:ascii="Calibri" w:eastAsia="Times New Roman" w:hAnsi="Calibri" w:cs="Calibri"/>
              <w:kern w:val="0"/>
              <w:lang w:eastAsia="en-KE"/>
              <w14:ligatures w14:val="none"/>
            </w:rPr>
            <w:fldChar w:fldCharType="separate"/>
          </w:r>
          <w:r w:rsidR="00C13E69" w:rsidRPr="004C1335">
            <w:rPr>
              <w:rFonts w:ascii="Calibri" w:eastAsia="Times New Roman" w:hAnsi="Calibri" w:cs="Calibri"/>
              <w:noProof/>
              <w:kern w:val="0"/>
              <w:lang w:val="en-US" w:eastAsia="en-KE"/>
              <w14:ligatures w14:val="none"/>
            </w:rPr>
            <w:t xml:space="preserve"> (Africa, 2013)</w:t>
          </w:r>
          <w:r w:rsidR="00C13E69" w:rsidRPr="004C1335">
            <w:rPr>
              <w:rFonts w:ascii="Calibri" w:eastAsia="Times New Roman" w:hAnsi="Calibri" w:cs="Calibri"/>
              <w:kern w:val="0"/>
              <w:lang w:eastAsia="en-KE"/>
              <w14:ligatures w14:val="none"/>
            </w:rPr>
            <w:fldChar w:fldCharType="end"/>
          </w:r>
        </w:sdtContent>
      </w:sdt>
      <w:r w:rsidRPr="004C1335">
        <w:rPr>
          <w:rFonts w:ascii="Calibri" w:eastAsia="Times New Roman" w:hAnsi="Calibri" w:cs="Calibri"/>
          <w:kern w:val="0"/>
          <w:lang w:eastAsia="en-KE"/>
          <w14:ligatures w14:val="none"/>
        </w:rPr>
        <w:t xml:space="preserve"> as a comparative benchmark. </w:t>
      </w:r>
      <w:r w:rsidR="004D581B">
        <w:rPr>
          <w:rFonts w:ascii="Calibri" w:eastAsia="Times New Roman" w:hAnsi="Calibri" w:cs="Calibri"/>
          <w:kern w:val="0"/>
          <w:lang w:eastAsia="en-KE"/>
          <w14:ligatures w14:val="none"/>
        </w:rPr>
        <w:t>D</w:t>
      </w:r>
      <w:r w:rsidRPr="004C1335">
        <w:rPr>
          <w:rFonts w:ascii="Calibri" w:eastAsia="Times New Roman" w:hAnsi="Calibri" w:cs="Calibri"/>
          <w:kern w:val="0"/>
          <w:lang w:eastAsia="en-KE"/>
          <w14:ligatures w14:val="none"/>
        </w:rPr>
        <w:t>octrinal texts</w:t>
      </w:r>
      <w:r w:rsidR="004D581B">
        <w:rPr>
          <w:rFonts w:ascii="Calibri" w:eastAsia="Times New Roman" w:hAnsi="Calibri" w:cs="Calibri"/>
          <w:kern w:val="0"/>
          <w:lang w:eastAsia="en-KE"/>
          <w14:ligatures w14:val="none"/>
        </w:rPr>
        <w:t xml:space="preserve"> are drawn on</w:t>
      </w:r>
      <w:r w:rsidRPr="004C1335">
        <w:rPr>
          <w:rFonts w:ascii="Calibri" w:eastAsia="Times New Roman" w:hAnsi="Calibri" w:cs="Calibri"/>
          <w:kern w:val="0"/>
          <w:lang w:eastAsia="en-KE"/>
          <w14:ligatures w14:val="none"/>
        </w:rPr>
        <w:t>, government materials and scholarly reviews to identify where resilience is already supported and where gaps remain.</w:t>
      </w:r>
    </w:p>
    <w:p w14:paraId="5D6725E7" w14:textId="1F084CC2" w:rsidR="001B2611" w:rsidRPr="004C1335" w:rsidRDefault="00527052" w:rsidP="002544EB">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While these frameworks demonstrate notable progress in establishing privacy, compliance, and accountability mechanisms, they exhibit shortcomings regarding a comprehensive focus on systemic resilience, business continuity, and coordinated cross-border data management</w:t>
      </w:r>
      <w:r w:rsidR="00515BBF" w:rsidRPr="004C1335">
        <w:rPr>
          <w:rFonts w:ascii="Calibri" w:eastAsia="Times New Roman" w:hAnsi="Calibri" w:cs="Calibri"/>
          <w:kern w:val="0"/>
          <w:lang w:eastAsia="en-KE"/>
          <w14:ligatures w14:val="none"/>
        </w:rPr>
        <w:t>.</w:t>
      </w:r>
      <w:r w:rsidR="00515BBF" w:rsidRPr="004C1335">
        <w:rPr>
          <w:rFonts w:ascii="Calibri" w:hAnsi="Calibri" w:cs="Calibri"/>
          <w:shd w:val="clear" w:color="auto" w:fill="FFFFFF"/>
        </w:rPr>
        <w:t xml:space="preserve"> </w:t>
      </w:r>
      <w:r w:rsidR="00515BBF" w:rsidRPr="004C1335">
        <w:rPr>
          <w:rFonts w:ascii="Calibri" w:eastAsia="Times New Roman" w:hAnsi="Calibri" w:cs="Calibri"/>
          <w:kern w:val="0"/>
          <w:lang w:eastAsia="en-KE"/>
          <w14:ligatures w14:val="none"/>
        </w:rPr>
        <w:t>Ultimately, current laws primarily protect data itself rather than the underlying data systems crucial for their integrity and availability</w:t>
      </w:r>
      <w:r w:rsidR="00C32455" w:rsidRPr="004C1335">
        <w:rPr>
          <w:rFonts w:ascii="Calibri" w:eastAsia="Times New Roman" w:hAnsi="Calibri" w:cs="Calibri"/>
          <w:kern w:val="0"/>
          <w:lang w:eastAsia="en-KE"/>
          <w14:ligatures w14:val="none"/>
        </w:rPr>
        <w:t>.</w:t>
      </w:r>
    </w:p>
    <w:p w14:paraId="76D95CBF" w14:textId="77777777" w:rsidR="003F6469" w:rsidRPr="006B3850" w:rsidRDefault="003F6469" w:rsidP="006B3850">
      <w:pPr>
        <w:pStyle w:val="Heading2"/>
        <w:jc w:val="center"/>
        <w:rPr>
          <w:rFonts w:eastAsia="Times New Roman"/>
          <w:sz w:val="28"/>
          <w:szCs w:val="28"/>
          <w:lang w:eastAsia="en-KE"/>
        </w:rPr>
      </w:pPr>
      <w:bookmarkStart w:id="6" w:name="_Toc213772608"/>
      <w:r w:rsidRPr="006B3850">
        <w:rPr>
          <w:rFonts w:eastAsia="Times New Roman"/>
          <w:sz w:val="28"/>
          <w:szCs w:val="28"/>
          <w:lang w:eastAsia="en-KE"/>
        </w:rPr>
        <w:t>Existing Frameworks</w:t>
      </w:r>
      <w:bookmarkEnd w:id="6"/>
    </w:p>
    <w:p w14:paraId="0BC7FC62" w14:textId="77777777" w:rsidR="003F6469" w:rsidRPr="00E2571E" w:rsidRDefault="003F6469" w:rsidP="003F6469">
      <w:pPr>
        <w:spacing w:before="100" w:beforeAutospacing="1" w:after="100" w:afterAutospacing="1" w:line="240" w:lineRule="auto"/>
        <w:jc w:val="both"/>
        <w:rPr>
          <w:rFonts w:ascii="Calibri" w:eastAsia="Times New Roman" w:hAnsi="Calibri" w:cs="Calibri"/>
          <w:kern w:val="0"/>
          <w:lang w:eastAsia="en-KE"/>
          <w14:ligatures w14:val="none"/>
        </w:rPr>
      </w:pPr>
      <w:r w:rsidRPr="00E2571E">
        <w:rPr>
          <w:rFonts w:ascii="Calibri" w:eastAsia="Times New Roman" w:hAnsi="Calibri" w:cs="Calibri"/>
          <w:kern w:val="0"/>
          <w:lang w:eastAsia="en-KE"/>
          <w14:ligatures w14:val="none"/>
        </w:rPr>
        <w:t>Kenya’s Data Protection Act (2019)</w:t>
      </w:r>
    </w:p>
    <w:p w14:paraId="5D697592" w14:textId="77777777" w:rsidR="00E31EA7" w:rsidRDefault="003F6469" w:rsidP="003F646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Kenya’s Data Protection Act (DPA) of 2019 was enacted to give effect to Article 31 of the Constitution of Kenya, 2010, which guarantees the right to privacy as a fundamental right. This legislation aligns Kenya with global trends in data protection, mirroring aspects of the European Union's General Data Protection Regulation (GDPR). The DPA establishes a robust framework for personal data protection, defining key terms and principles, and creating institutions for oversight.</w:t>
      </w:r>
    </w:p>
    <w:p w14:paraId="35A0F733" w14:textId="77777777" w:rsidR="00AE52BF" w:rsidRDefault="00AE52BF" w:rsidP="003F6469">
      <w:pPr>
        <w:spacing w:before="100" w:beforeAutospacing="1" w:after="100" w:afterAutospacing="1" w:line="240" w:lineRule="auto"/>
        <w:jc w:val="both"/>
        <w:rPr>
          <w:rFonts w:ascii="Calibri" w:eastAsia="Times New Roman" w:hAnsi="Calibri" w:cs="Calibri"/>
          <w:kern w:val="0"/>
          <w:lang w:eastAsia="en-KE"/>
          <w14:ligatures w14:val="none"/>
        </w:rPr>
      </w:pPr>
    </w:p>
    <w:p w14:paraId="6D4729A0" w14:textId="6A9D7511" w:rsidR="003F6469" w:rsidRPr="004C1335" w:rsidRDefault="003F6469" w:rsidP="003F646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It mandates data controllers and processors to adhere to principles such as lawfulness, fairness, transparency, purpose limitation, data minimization, accuracy, storage limitation, and accountability.</w:t>
      </w:r>
      <w:sdt>
        <w:sdtPr>
          <w:rPr>
            <w:rFonts w:ascii="Calibri" w:eastAsia="Times New Roman" w:hAnsi="Calibri" w:cs="Calibri"/>
            <w:kern w:val="0"/>
            <w:lang w:eastAsia="en-KE"/>
            <w14:ligatures w14:val="none"/>
          </w:rPr>
          <w:id w:val="1744452487"/>
          <w:citation/>
        </w:sdtPr>
        <w:sdtContent>
          <w:r w:rsidR="00BA33EF" w:rsidRPr="004C1335">
            <w:rPr>
              <w:rFonts w:ascii="Calibri" w:eastAsia="Times New Roman" w:hAnsi="Calibri" w:cs="Calibri"/>
              <w:kern w:val="0"/>
              <w:lang w:eastAsia="en-KE"/>
              <w14:ligatures w14:val="none"/>
            </w:rPr>
            <w:fldChar w:fldCharType="begin"/>
          </w:r>
          <w:r w:rsidR="00BA33EF" w:rsidRPr="004C1335">
            <w:rPr>
              <w:rFonts w:ascii="Calibri" w:eastAsia="Times New Roman" w:hAnsi="Calibri" w:cs="Calibri"/>
              <w:kern w:val="0"/>
              <w:lang w:val="en-US" w:eastAsia="en-KE"/>
              <w14:ligatures w14:val="none"/>
            </w:rPr>
            <w:instrText xml:space="preserve"> CITATION The19 \l 1033 </w:instrText>
          </w:r>
          <w:r w:rsidR="00BA33EF" w:rsidRPr="004C1335">
            <w:rPr>
              <w:rFonts w:ascii="Calibri" w:eastAsia="Times New Roman" w:hAnsi="Calibri" w:cs="Calibri"/>
              <w:kern w:val="0"/>
              <w:lang w:eastAsia="en-KE"/>
              <w14:ligatures w14:val="none"/>
            </w:rPr>
            <w:fldChar w:fldCharType="separate"/>
          </w:r>
          <w:r w:rsidR="00BA33EF" w:rsidRPr="004C1335">
            <w:rPr>
              <w:rFonts w:ascii="Calibri" w:eastAsia="Times New Roman" w:hAnsi="Calibri" w:cs="Calibri"/>
              <w:noProof/>
              <w:kern w:val="0"/>
              <w:lang w:val="en-US" w:eastAsia="en-KE"/>
              <w14:ligatures w14:val="none"/>
            </w:rPr>
            <w:t xml:space="preserve"> (Kenya, 2019)</w:t>
          </w:r>
          <w:r w:rsidR="00BA33EF" w:rsidRPr="004C1335">
            <w:rPr>
              <w:rFonts w:ascii="Calibri" w:eastAsia="Times New Roman" w:hAnsi="Calibri" w:cs="Calibri"/>
              <w:kern w:val="0"/>
              <w:lang w:eastAsia="en-KE"/>
              <w14:ligatures w14:val="none"/>
            </w:rPr>
            <w:fldChar w:fldCharType="end"/>
          </w:r>
        </w:sdtContent>
      </w:sdt>
      <w:r w:rsidR="00AE52BF">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The Act outlines the rights of data subjects, including the right to be informed, the right of access, rectification, erasure, and objection to processing. It also addresses sensitive personal data, such as health data, requiring stricter conditions for its processing.</w:t>
      </w:r>
      <w:sdt>
        <w:sdtPr>
          <w:rPr>
            <w:rFonts w:ascii="Calibri" w:eastAsia="Times New Roman" w:hAnsi="Calibri" w:cs="Calibri"/>
            <w:kern w:val="0"/>
            <w:lang w:eastAsia="en-KE"/>
            <w14:ligatures w14:val="none"/>
          </w:rPr>
          <w:id w:val="1004401219"/>
          <w:citation/>
        </w:sdtPr>
        <w:sdtContent>
          <w:r w:rsidR="00BA33EF" w:rsidRPr="004C1335">
            <w:rPr>
              <w:rFonts w:ascii="Calibri" w:eastAsia="Times New Roman" w:hAnsi="Calibri" w:cs="Calibri"/>
              <w:kern w:val="0"/>
              <w:lang w:eastAsia="en-KE"/>
              <w14:ligatures w14:val="none"/>
            </w:rPr>
            <w:fldChar w:fldCharType="begin"/>
          </w:r>
          <w:r w:rsidR="00BA33EF" w:rsidRPr="004C1335">
            <w:rPr>
              <w:rFonts w:ascii="Calibri" w:eastAsia="Times New Roman" w:hAnsi="Calibri" w:cs="Calibri"/>
              <w:kern w:val="0"/>
              <w:lang w:val="en-US" w:eastAsia="en-KE"/>
              <w14:ligatures w14:val="none"/>
            </w:rPr>
            <w:instrText xml:space="preserve"> CITATION The19 \l 1033 </w:instrText>
          </w:r>
          <w:r w:rsidR="00BA33EF" w:rsidRPr="004C1335">
            <w:rPr>
              <w:rFonts w:ascii="Calibri" w:eastAsia="Times New Roman" w:hAnsi="Calibri" w:cs="Calibri"/>
              <w:kern w:val="0"/>
              <w:lang w:eastAsia="en-KE"/>
              <w14:ligatures w14:val="none"/>
            </w:rPr>
            <w:fldChar w:fldCharType="separate"/>
          </w:r>
          <w:r w:rsidR="00BA33EF" w:rsidRPr="004C1335">
            <w:rPr>
              <w:rFonts w:ascii="Calibri" w:eastAsia="Times New Roman" w:hAnsi="Calibri" w:cs="Calibri"/>
              <w:noProof/>
              <w:kern w:val="0"/>
              <w:lang w:val="en-US" w:eastAsia="en-KE"/>
              <w14:ligatures w14:val="none"/>
            </w:rPr>
            <w:t xml:space="preserve"> (Kenya, 2019)</w:t>
          </w:r>
          <w:r w:rsidR="00BA33EF" w:rsidRPr="004C1335">
            <w:rPr>
              <w:rFonts w:ascii="Calibri" w:eastAsia="Times New Roman" w:hAnsi="Calibri" w:cs="Calibri"/>
              <w:kern w:val="0"/>
              <w:lang w:eastAsia="en-KE"/>
              <w14:ligatures w14:val="none"/>
            </w:rPr>
            <w:fldChar w:fldCharType="end"/>
          </w:r>
        </w:sdtContent>
      </w:sdt>
      <w:r w:rsidRPr="004C1335">
        <w:rPr>
          <w:rFonts w:ascii="Calibri" w:eastAsia="Times New Roman" w:hAnsi="Calibri" w:cs="Calibri"/>
          <w:kern w:val="0"/>
          <w:lang w:eastAsia="en-KE"/>
          <w14:ligatures w14:val="none"/>
        </w:rPr>
        <w:t xml:space="preserve"> For instance, health data is recognized as a special category of personal data requiring specific regulations. The DPA also includes provisions for cross-border data transfers, stipulating that such transfers can only occur if adequate safeguards are in place, ensuring an equivalent level of data protection. This is particularly relevant in an increasingly globalized and interconnected digital environment where data frequently crosses national borders. However, while the DPA focuses on protecting personal data, its provisions on the resilience of the data systems themselves against cyber threats or systemic failures are not as explicitly developed as its privacy and accountability measures. The law primarily establishes how data should be handled, stored, and transferred, assuming the underlying infrastructure is secure, but does not provide explicit mechanisms for ensuring that security or resilience from a systemic perspective.</w:t>
      </w:r>
    </w:p>
    <w:p w14:paraId="5D7F4DB7" w14:textId="6347A04D" w:rsidR="00853589" w:rsidRPr="00E2571E"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E2571E">
        <w:rPr>
          <w:rFonts w:ascii="Calibri" w:eastAsia="Times New Roman" w:hAnsi="Calibri" w:cs="Calibri"/>
          <w:kern w:val="0"/>
          <w:lang w:eastAsia="en-KE"/>
          <w14:ligatures w14:val="none"/>
        </w:rPr>
        <w:t>African Union Convention on Cyber Security and Personal Data Protection (Malabo Convention)</w:t>
      </w:r>
    </w:p>
    <w:p w14:paraId="27CE8D2B" w14:textId="266AB19F" w:rsidR="00853589" w:rsidRPr="004C1335"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Malabo Convention provides a pan-African framework encouraging harmonised national laws on cybersecurity and personal data protection. The Convention tasks Member States to “develop a national cyber security policy and appropriate institutional mechanism for governance” and to ensure monitoring and response to incidents</w:t>
      </w:r>
      <w:sdt>
        <w:sdtPr>
          <w:rPr>
            <w:rFonts w:ascii="Calibri" w:eastAsia="Times New Roman" w:hAnsi="Calibri" w:cs="Calibri"/>
            <w:kern w:val="0"/>
            <w:lang w:eastAsia="en-KE"/>
            <w14:ligatures w14:val="none"/>
          </w:rPr>
          <w:id w:val="904570798"/>
          <w:citation/>
        </w:sdtPr>
        <w:sdtContent>
          <w:r w:rsidR="0020565A" w:rsidRPr="004C1335">
            <w:rPr>
              <w:rFonts w:ascii="Calibri" w:eastAsia="Times New Roman" w:hAnsi="Calibri" w:cs="Calibri"/>
              <w:kern w:val="0"/>
              <w:lang w:eastAsia="en-KE"/>
              <w14:ligatures w14:val="none"/>
            </w:rPr>
            <w:fldChar w:fldCharType="begin"/>
          </w:r>
          <w:r w:rsidR="0020565A" w:rsidRPr="004C1335">
            <w:rPr>
              <w:rFonts w:ascii="Calibri" w:eastAsia="Times New Roman" w:hAnsi="Calibri" w:cs="Calibri"/>
              <w:kern w:val="0"/>
              <w:lang w:val="en-US" w:eastAsia="en-KE"/>
              <w14:ligatures w14:val="none"/>
            </w:rPr>
            <w:instrText xml:space="preserve"> CITATION Afr14 \l 1033 </w:instrText>
          </w:r>
          <w:r w:rsidR="0020565A" w:rsidRPr="004C1335">
            <w:rPr>
              <w:rFonts w:ascii="Calibri" w:eastAsia="Times New Roman" w:hAnsi="Calibri" w:cs="Calibri"/>
              <w:kern w:val="0"/>
              <w:lang w:eastAsia="en-KE"/>
              <w14:ligatures w14:val="none"/>
            </w:rPr>
            <w:fldChar w:fldCharType="separate"/>
          </w:r>
          <w:r w:rsidR="0020565A" w:rsidRPr="004C1335">
            <w:rPr>
              <w:rFonts w:ascii="Calibri" w:eastAsia="Times New Roman" w:hAnsi="Calibri" w:cs="Calibri"/>
              <w:noProof/>
              <w:kern w:val="0"/>
              <w:lang w:val="en-US" w:eastAsia="en-KE"/>
              <w14:ligatures w14:val="none"/>
            </w:rPr>
            <w:t xml:space="preserve"> (Union, 2014)</w:t>
          </w:r>
          <w:r w:rsidR="0020565A" w:rsidRPr="004C1335">
            <w:rPr>
              <w:rFonts w:ascii="Calibri" w:eastAsia="Times New Roman" w:hAnsi="Calibri" w:cs="Calibri"/>
              <w:kern w:val="0"/>
              <w:lang w:eastAsia="en-KE"/>
              <w14:ligatures w14:val="none"/>
            </w:rPr>
            <w:fldChar w:fldCharType="end"/>
          </w:r>
        </w:sdtContent>
      </w:sdt>
      <w:r w:rsidR="00D549BD">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The Malabo Convention emphasises harmonisation, national cyber policies, incident monitoring and cross-border cooperation. These provisions create an explicit normative basis for cross-border incident coordination, which is directly relevant to resilience. At the same time, the Convention is a high-level treaty. It sets obligations for Member States to enact national laws and establish institutions, but it does not specify operational resilience metrics, resilience testing, or mandatory multi-jurisdictional recovery arrangements in technical detail. Implementation therefore depends heavily on domestic lawmaking and regional cooperation mechanisms. </w:t>
      </w:r>
      <w:sdt>
        <w:sdtPr>
          <w:rPr>
            <w:rFonts w:ascii="Calibri" w:eastAsia="Times New Roman" w:hAnsi="Calibri" w:cs="Calibri"/>
            <w:kern w:val="0"/>
            <w:lang w:eastAsia="en-KE"/>
            <w14:ligatures w14:val="none"/>
          </w:rPr>
          <w:id w:val="289876544"/>
          <w:citation/>
        </w:sdtPr>
        <w:sdtContent>
          <w:r w:rsidR="00CA12CC" w:rsidRPr="004C1335">
            <w:rPr>
              <w:rFonts w:ascii="Calibri" w:eastAsia="Times New Roman" w:hAnsi="Calibri" w:cs="Calibri"/>
              <w:kern w:val="0"/>
              <w:lang w:eastAsia="en-KE"/>
              <w14:ligatures w14:val="none"/>
            </w:rPr>
            <w:fldChar w:fldCharType="begin"/>
          </w:r>
          <w:r w:rsidR="00CA12CC" w:rsidRPr="004C1335">
            <w:rPr>
              <w:rFonts w:ascii="Calibri" w:eastAsia="Times New Roman" w:hAnsi="Calibri" w:cs="Calibri"/>
              <w:kern w:val="0"/>
              <w:lang w:val="en-US" w:eastAsia="en-KE"/>
              <w14:ligatures w14:val="none"/>
            </w:rPr>
            <w:instrText xml:space="preserve"> CITATION Afr14 \l 1033 </w:instrText>
          </w:r>
          <w:r w:rsidR="00CA12CC" w:rsidRPr="004C1335">
            <w:rPr>
              <w:rFonts w:ascii="Calibri" w:eastAsia="Times New Roman" w:hAnsi="Calibri" w:cs="Calibri"/>
              <w:kern w:val="0"/>
              <w:lang w:eastAsia="en-KE"/>
              <w14:ligatures w14:val="none"/>
            </w:rPr>
            <w:fldChar w:fldCharType="separate"/>
          </w:r>
          <w:r w:rsidR="00CA12CC" w:rsidRPr="004C1335">
            <w:rPr>
              <w:rFonts w:ascii="Calibri" w:eastAsia="Times New Roman" w:hAnsi="Calibri" w:cs="Calibri"/>
              <w:noProof/>
              <w:kern w:val="0"/>
              <w:lang w:val="en-US" w:eastAsia="en-KE"/>
              <w14:ligatures w14:val="none"/>
            </w:rPr>
            <w:t>(Union, 2014)</w:t>
          </w:r>
          <w:r w:rsidR="00CA12CC" w:rsidRPr="004C1335">
            <w:rPr>
              <w:rFonts w:ascii="Calibri" w:eastAsia="Times New Roman" w:hAnsi="Calibri" w:cs="Calibri"/>
              <w:kern w:val="0"/>
              <w:lang w:eastAsia="en-KE"/>
              <w14:ligatures w14:val="none"/>
            </w:rPr>
            <w:fldChar w:fldCharType="end"/>
          </w:r>
        </w:sdtContent>
      </w:sdt>
    </w:p>
    <w:p w14:paraId="3A0A8596" w14:textId="5E7A687F" w:rsidR="00853589" w:rsidRPr="00E2571E"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E2571E">
        <w:rPr>
          <w:rFonts w:ascii="Calibri" w:eastAsia="Times New Roman" w:hAnsi="Calibri" w:cs="Calibri"/>
          <w:kern w:val="0"/>
          <w:lang w:eastAsia="en-KE"/>
          <w14:ligatures w14:val="none"/>
        </w:rPr>
        <w:t>Comparative benchmark: South Africa’s POPIA</w:t>
      </w:r>
    </w:p>
    <w:p w14:paraId="4E2847B7" w14:textId="77777777" w:rsidR="00663F13" w:rsidRDefault="00853589" w:rsidP="0083436F">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South Africa’s Protection of Personal Information Act 2013 is frequently cited as among Africa’s more comprehensive national data protection laws, establishing an Information Regulator and duties for public and private bodies. The Act aims “to promote the protection of personal information processed by public and private bodies” </w:t>
      </w:r>
      <w:sdt>
        <w:sdtPr>
          <w:rPr>
            <w:rFonts w:ascii="Calibri" w:eastAsia="Times New Roman" w:hAnsi="Calibri" w:cs="Calibri"/>
            <w:kern w:val="0"/>
            <w:lang w:eastAsia="en-KE"/>
            <w14:ligatures w14:val="none"/>
          </w:rPr>
          <w:id w:val="1671747486"/>
          <w:citation/>
        </w:sdtPr>
        <w:sdtContent>
          <w:r w:rsidR="0091019C" w:rsidRPr="004C1335">
            <w:rPr>
              <w:rFonts w:ascii="Calibri" w:eastAsia="Times New Roman" w:hAnsi="Calibri" w:cs="Calibri"/>
              <w:kern w:val="0"/>
              <w:lang w:eastAsia="en-KE"/>
              <w14:ligatures w14:val="none"/>
            </w:rPr>
            <w:fldChar w:fldCharType="begin"/>
          </w:r>
          <w:r w:rsidR="0091019C" w:rsidRPr="004C1335">
            <w:rPr>
              <w:rFonts w:ascii="Calibri" w:eastAsia="Times New Roman" w:hAnsi="Calibri" w:cs="Calibri"/>
              <w:kern w:val="0"/>
              <w:lang w:val="en-US" w:eastAsia="en-KE"/>
              <w14:ligatures w14:val="none"/>
            </w:rPr>
            <w:instrText xml:space="preserve"> CITATION Afr13 \l 1033 </w:instrText>
          </w:r>
          <w:r w:rsidR="0091019C" w:rsidRPr="004C1335">
            <w:rPr>
              <w:rFonts w:ascii="Calibri" w:eastAsia="Times New Roman" w:hAnsi="Calibri" w:cs="Calibri"/>
              <w:kern w:val="0"/>
              <w:lang w:eastAsia="en-KE"/>
              <w14:ligatures w14:val="none"/>
            </w:rPr>
            <w:fldChar w:fldCharType="separate"/>
          </w:r>
          <w:r w:rsidR="0091019C" w:rsidRPr="004C1335">
            <w:rPr>
              <w:rFonts w:ascii="Calibri" w:eastAsia="Times New Roman" w:hAnsi="Calibri" w:cs="Calibri"/>
              <w:noProof/>
              <w:kern w:val="0"/>
              <w:lang w:val="en-US" w:eastAsia="en-KE"/>
              <w14:ligatures w14:val="none"/>
            </w:rPr>
            <w:t>(Africa, 2013)</w:t>
          </w:r>
          <w:r w:rsidR="0091019C" w:rsidRPr="004C1335">
            <w:rPr>
              <w:rFonts w:ascii="Calibri" w:eastAsia="Times New Roman" w:hAnsi="Calibri" w:cs="Calibri"/>
              <w:kern w:val="0"/>
              <w:lang w:eastAsia="en-KE"/>
              <w14:ligatures w14:val="none"/>
            </w:rPr>
            <w:fldChar w:fldCharType="end"/>
          </w:r>
        </w:sdtContent>
      </w:sdt>
      <w:r w:rsidR="00D64423">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POPIA similarly focuses on privacy rights, lawful processing, and enforcement mechanisms. While POPIA imposes obligations for security safeguards, those safeguards are typically framed as reasonable technical and organisational measures rather than explicit, measurable resilience standards. </w:t>
      </w:r>
    </w:p>
    <w:p w14:paraId="5AD695BF" w14:textId="0C5258E0" w:rsidR="008B1EE4" w:rsidRPr="0083436F" w:rsidRDefault="00853589" w:rsidP="0083436F">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Comparative legal commentary suggests that, like Kenya, South Africa’s law can be read to permit regulators to develop codes and guidance that could incorporate resilience objectives, but the statutory language does not itself contain prescriptive resilience metrics.</w:t>
      </w:r>
      <w:sdt>
        <w:sdtPr>
          <w:rPr>
            <w:rFonts w:ascii="Calibri" w:eastAsia="Times New Roman" w:hAnsi="Calibri" w:cs="Calibri"/>
            <w:kern w:val="0"/>
            <w:lang w:eastAsia="en-KE"/>
            <w14:ligatures w14:val="none"/>
          </w:rPr>
          <w:id w:val="865029357"/>
          <w:citation/>
        </w:sdtPr>
        <w:sdtContent>
          <w:r w:rsidR="00066ECD" w:rsidRPr="004C1335">
            <w:rPr>
              <w:rFonts w:ascii="Calibri" w:eastAsia="Times New Roman" w:hAnsi="Calibri" w:cs="Calibri"/>
              <w:kern w:val="0"/>
              <w:lang w:eastAsia="en-KE"/>
              <w14:ligatures w14:val="none"/>
            </w:rPr>
            <w:fldChar w:fldCharType="begin"/>
          </w:r>
          <w:r w:rsidR="00066ECD" w:rsidRPr="004C1335">
            <w:rPr>
              <w:rFonts w:ascii="Calibri" w:eastAsia="Times New Roman" w:hAnsi="Calibri" w:cs="Calibri"/>
              <w:kern w:val="0"/>
              <w:lang w:val="en-US" w:eastAsia="en-KE"/>
              <w14:ligatures w14:val="none"/>
            </w:rPr>
            <w:instrText xml:space="preserve"> CITATION Afr13 \l 1033 </w:instrText>
          </w:r>
          <w:r w:rsidR="00066ECD" w:rsidRPr="004C1335">
            <w:rPr>
              <w:rFonts w:ascii="Calibri" w:eastAsia="Times New Roman" w:hAnsi="Calibri" w:cs="Calibri"/>
              <w:kern w:val="0"/>
              <w:lang w:eastAsia="en-KE"/>
              <w14:ligatures w14:val="none"/>
            </w:rPr>
            <w:fldChar w:fldCharType="separate"/>
          </w:r>
          <w:r w:rsidR="00066ECD" w:rsidRPr="004C1335">
            <w:rPr>
              <w:rFonts w:ascii="Calibri" w:eastAsia="Times New Roman" w:hAnsi="Calibri" w:cs="Calibri"/>
              <w:noProof/>
              <w:kern w:val="0"/>
              <w:lang w:val="en-US" w:eastAsia="en-KE"/>
              <w14:ligatures w14:val="none"/>
            </w:rPr>
            <w:t xml:space="preserve"> (Africa, 2013)</w:t>
          </w:r>
          <w:r w:rsidR="00066ECD" w:rsidRPr="004C1335">
            <w:rPr>
              <w:rFonts w:ascii="Calibri" w:eastAsia="Times New Roman" w:hAnsi="Calibri" w:cs="Calibri"/>
              <w:kern w:val="0"/>
              <w:lang w:eastAsia="en-KE"/>
              <w14:ligatures w14:val="none"/>
            </w:rPr>
            <w:fldChar w:fldCharType="end"/>
          </w:r>
        </w:sdtContent>
      </w:sdt>
      <w:bookmarkStart w:id="7" w:name="_Toc213772609"/>
    </w:p>
    <w:p w14:paraId="7B628B91" w14:textId="5B0B4804" w:rsidR="00853589" w:rsidRPr="00DD7ACE" w:rsidRDefault="00853589" w:rsidP="00DD7ACE">
      <w:pPr>
        <w:pStyle w:val="Heading2"/>
        <w:jc w:val="center"/>
        <w:rPr>
          <w:rFonts w:eastAsia="Times New Roman"/>
          <w:sz w:val="28"/>
          <w:szCs w:val="28"/>
          <w:lang w:eastAsia="en-KE"/>
        </w:rPr>
      </w:pPr>
      <w:r w:rsidRPr="00DD7ACE">
        <w:rPr>
          <w:rFonts w:eastAsia="Times New Roman"/>
          <w:sz w:val="28"/>
          <w:szCs w:val="28"/>
          <w:lang w:eastAsia="en-KE"/>
        </w:rPr>
        <w:t>Where the laws support resilience today</w:t>
      </w:r>
      <w:bookmarkEnd w:id="7"/>
    </w:p>
    <w:p w14:paraId="0E9129D9" w14:textId="77777777" w:rsidR="00853589" w:rsidRPr="004C1335"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There are several legal hooks across these instruments that can be used to mandate resilience practices if regulators and policymakers choose to act.</w:t>
      </w:r>
    </w:p>
    <w:p w14:paraId="71FF1A28" w14:textId="25213E5D" w:rsidR="00853589" w:rsidRPr="001D4D7F" w:rsidRDefault="00853589" w:rsidP="00853589">
      <w:pPr>
        <w:numPr>
          <w:ilvl w:val="0"/>
          <w:numId w:val="1"/>
        </w:numPr>
        <w:spacing w:before="100" w:beforeAutospacing="1" w:after="100" w:afterAutospacing="1" w:line="240" w:lineRule="auto"/>
        <w:jc w:val="both"/>
        <w:rPr>
          <w:rFonts w:ascii="Calibri" w:eastAsia="Times New Roman" w:hAnsi="Calibri" w:cs="Calibri"/>
          <w:kern w:val="0"/>
          <w:lang w:eastAsia="en-KE"/>
          <w14:ligatures w14:val="none"/>
        </w:rPr>
      </w:pPr>
      <w:r w:rsidRPr="001D4D7F">
        <w:rPr>
          <w:rFonts w:ascii="Calibri" w:eastAsia="Times New Roman" w:hAnsi="Calibri" w:cs="Calibri"/>
          <w:kern w:val="0"/>
          <w:lang w:eastAsia="en-KE"/>
          <w14:ligatures w14:val="none"/>
        </w:rPr>
        <w:t xml:space="preserve">Data protection by design. Kenya’s Act and other modern data protection laws include by-design principles that require considering technical and organisational measures when processing data. These provisions can lawfully be interpreted to encompass resilience engineering practices such as redundancy, encryption, secure backups and tamper-evident logging. The General Regulations for Kenya explicitly set out elements for “data protection by design or default.” </w:t>
      </w:r>
      <w:sdt>
        <w:sdtPr>
          <w:rPr>
            <w:rFonts w:ascii="Calibri" w:eastAsia="Times New Roman" w:hAnsi="Calibri" w:cs="Calibri"/>
            <w:kern w:val="0"/>
            <w:lang w:eastAsia="en-KE"/>
            <w14:ligatures w14:val="none"/>
          </w:rPr>
          <w:id w:val="-1283034372"/>
          <w:citation/>
        </w:sdtPr>
        <w:sdtContent>
          <w:r w:rsidR="0095510A" w:rsidRPr="001D4D7F">
            <w:rPr>
              <w:rFonts w:ascii="Calibri" w:eastAsia="Times New Roman" w:hAnsi="Calibri" w:cs="Calibri"/>
              <w:kern w:val="0"/>
              <w:lang w:eastAsia="en-KE"/>
              <w14:ligatures w14:val="none"/>
            </w:rPr>
            <w:fldChar w:fldCharType="begin"/>
          </w:r>
          <w:r w:rsidR="0095510A" w:rsidRPr="001D4D7F">
            <w:rPr>
              <w:rFonts w:ascii="Calibri" w:eastAsia="Times New Roman" w:hAnsi="Calibri" w:cs="Calibri"/>
              <w:kern w:val="0"/>
              <w:lang w:val="en-US" w:eastAsia="en-KE"/>
              <w14:ligatures w14:val="none"/>
            </w:rPr>
            <w:instrText xml:space="preserve"> CITATION The21 \l 1033 </w:instrText>
          </w:r>
          <w:r w:rsidR="0095510A" w:rsidRPr="001D4D7F">
            <w:rPr>
              <w:rFonts w:ascii="Calibri" w:eastAsia="Times New Roman" w:hAnsi="Calibri" w:cs="Calibri"/>
              <w:kern w:val="0"/>
              <w:lang w:eastAsia="en-KE"/>
              <w14:ligatures w14:val="none"/>
            </w:rPr>
            <w:fldChar w:fldCharType="separate"/>
          </w:r>
          <w:r w:rsidR="0095510A" w:rsidRPr="001D4D7F">
            <w:rPr>
              <w:rFonts w:ascii="Calibri" w:eastAsia="Times New Roman" w:hAnsi="Calibri" w:cs="Calibri"/>
              <w:noProof/>
              <w:kern w:val="0"/>
              <w:lang w:val="en-US" w:eastAsia="en-KE"/>
              <w14:ligatures w14:val="none"/>
            </w:rPr>
            <w:t>(Kenya T. R., 2021)</w:t>
          </w:r>
          <w:r w:rsidR="0095510A" w:rsidRPr="001D4D7F">
            <w:rPr>
              <w:rFonts w:ascii="Calibri" w:eastAsia="Times New Roman" w:hAnsi="Calibri" w:cs="Calibri"/>
              <w:kern w:val="0"/>
              <w:lang w:eastAsia="en-KE"/>
              <w14:ligatures w14:val="none"/>
            </w:rPr>
            <w:fldChar w:fldCharType="end"/>
          </w:r>
        </w:sdtContent>
      </w:sdt>
    </w:p>
    <w:p w14:paraId="629B76CD" w14:textId="619C9409" w:rsidR="00853589" w:rsidRPr="001D4D7F" w:rsidRDefault="00853589" w:rsidP="00853589">
      <w:pPr>
        <w:numPr>
          <w:ilvl w:val="0"/>
          <w:numId w:val="1"/>
        </w:numPr>
        <w:spacing w:before="100" w:beforeAutospacing="1" w:after="100" w:afterAutospacing="1" w:line="240" w:lineRule="auto"/>
        <w:jc w:val="both"/>
        <w:rPr>
          <w:rFonts w:ascii="Calibri" w:eastAsia="Times New Roman" w:hAnsi="Calibri" w:cs="Calibri"/>
          <w:kern w:val="0"/>
          <w:lang w:eastAsia="en-KE"/>
          <w14:ligatures w14:val="none"/>
        </w:rPr>
      </w:pPr>
      <w:r w:rsidRPr="001D4D7F">
        <w:rPr>
          <w:rFonts w:ascii="Calibri" w:eastAsia="Times New Roman" w:hAnsi="Calibri" w:cs="Calibri"/>
          <w:kern w:val="0"/>
          <w:lang w:eastAsia="en-KE"/>
          <w14:ligatures w14:val="none"/>
        </w:rPr>
        <w:t xml:space="preserve">Security safeguards requirement. POPIA and Kenya’s Act require appropriate security safeguards. Those obligations create a legal basis for regulators to demand standards and guidance; they could be extended to resilience metrics by regulation or by the issuance of codes of practice. </w:t>
      </w:r>
      <w:sdt>
        <w:sdtPr>
          <w:rPr>
            <w:rFonts w:ascii="Calibri" w:eastAsia="Times New Roman" w:hAnsi="Calibri" w:cs="Calibri"/>
            <w:kern w:val="0"/>
            <w:lang w:eastAsia="en-KE"/>
            <w14:ligatures w14:val="none"/>
          </w:rPr>
          <w:id w:val="-1382474938"/>
          <w:citation/>
        </w:sdtPr>
        <w:sdtContent>
          <w:r w:rsidR="00CD27B2" w:rsidRPr="001D4D7F">
            <w:rPr>
              <w:rFonts w:ascii="Calibri" w:eastAsia="Times New Roman" w:hAnsi="Calibri" w:cs="Calibri"/>
              <w:kern w:val="0"/>
              <w:lang w:eastAsia="en-KE"/>
              <w14:ligatures w14:val="none"/>
            </w:rPr>
            <w:fldChar w:fldCharType="begin"/>
          </w:r>
          <w:r w:rsidR="00CD27B2" w:rsidRPr="001D4D7F">
            <w:rPr>
              <w:rFonts w:ascii="Calibri" w:eastAsia="Times New Roman" w:hAnsi="Calibri" w:cs="Calibri"/>
              <w:kern w:val="0"/>
              <w:lang w:val="en-US" w:eastAsia="en-KE"/>
              <w14:ligatures w14:val="none"/>
            </w:rPr>
            <w:instrText xml:space="preserve"> CITATION Afr13 \l 1033 </w:instrText>
          </w:r>
          <w:r w:rsidR="00CD27B2" w:rsidRPr="001D4D7F">
            <w:rPr>
              <w:rFonts w:ascii="Calibri" w:eastAsia="Times New Roman" w:hAnsi="Calibri" w:cs="Calibri"/>
              <w:kern w:val="0"/>
              <w:lang w:eastAsia="en-KE"/>
              <w14:ligatures w14:val="none"/>
            </w:rPr>
            <w:fldChar w:fldCharType="separate"/>
          </w:r>
          <w:r w:rsidR="00CD27B2" w:rsidRPr="001D4D7F">
            <w:rPr>
              <w:rFonts w:ascii="Calibri" w:eastAsia="Times New Roman" w:hAnsi="Calibri" w:cs="Calibri"/>
              <w:noProof/>
              <w:kern w:val="0"/>
              <w:lang w:val="en-US" w:eastAsia="en-KE"/>
              <w14:ligatures w14:val="none"/>
            </w:rPr>
            <w:t>(Africa, 2013)</w:t>
          </w:r>
          <w:r w:rsidR="00CD27B2" w:rsidRPr="001D4D7F">
            <w:rPr>
              <w:rFonts w:ascii="Calibri" w:eastAsia="Times New Roman" w:hAnsi="Calibri" w:cs="Calibri"/>
              <w:kern w:val="0"/>
              <w:lang w:eastAsia="en-KE"/>
              <w14:ligatures w14:val="none"/>
            </w:rPr>
            <w:fldChar w:fldCharType="end"/>
          </w:r>
        </w:sdtContent>
      </w:sdt>
    </w:p>
    <w:p w14:paraId="11277B18" w14:textId="77777777" w:rsidR="0083436F" w:rsidRDefault="00853589" w:rsidP="00853589">
      <w:pPr>
        <w:numPr>
          <w:ilvl w:val="0"/>
          <w:numId w:val="1"/>
        </w:numPr>
        <w:spacing w:before="100" w:beforeAutospacing="1" w:after="100" w:afterAutospacing="1" w:line="240" w:lineRule="auto"/>
        <w:jc w:val="both"/>
        <w:rPr>
          <w:rFonts w:ascii="Calibri" w:eastAsia="Times New Roman" w:hAnsi="Calibri" w:cs="Calibri"/>
          <w:kern w:val="0"/>
          <w:lang w:eastAsia="en-KE"/>
          <w14:ligatures w14:val="none"/>
        </w:rPr>
      </w:pPr>
      <w:r w:rsidRPr="001D4D7F">
        <w:rPr>
          <w:rFonts w:ascii="Calibri" w:eastAsia="Times New Roman" w:hAnsi="Calibri" w:cs="Calibri"/>
          <w:kern w:val="0"/>
          <w:lang w:eastAsia="en-KE"/>
          <w14:ligatures w14:val="none"/>
        </w:rPr>
        <w:t xml:space="preserve">Incident reporting and CERT roles. Both national laws and the Malabo Convention encourage incident notification and coordination mechanisms. </w:t>
      </w:r>
    </w:p>
    <w:p w14:paraId="0129837F" w14:textId="593CEB9B" w:rsidR="00853589" w:rsidRPr="004C1335" w:rsidRDefault="00853589" w:rsidP="00853589">
      <w:pPr>
        <w:numPr>
          <w:ilvl w:val="0"/>
          <w:numId w:val="1"/>
        </w:numPr>
        <w:spacing w:before="100" w:beforeAutospacing="1" w:after="100" w:afterAutospacing="1" w:line="240" w:lineRule="auto"/>
        <w:jc w:val="both"/>
        <w:rPr>
          <w:rFonts w:ascii="Calibri" w:eastAsia="Times New Roman" w:hAnsi="Calibri" w:cs="Calibri"/>
          <w:kern w:val="0"/>
          <w:lang w:eastAsia="en-KE"/>
          <w14:ligatures w14:val="none"/>
        </w:rPr>
      </w:pPr>
      <w:r w:rsidRPr="001D4D7F">
        <w:rPr>
          <w:rFonts w:ascii="Calibri" w:eastAsia="Times New Roman" w:hAnsi="Calibri" w:cs="Calibri"/>
          <w:kern w:val="0"/>
          <w:lang w:eastAsia="en-KE"/>
          <w14:ligatures w14:val="none"/>
        </w:rPr>
        <w:t>That statutory and treaty scaffolding supports the formal strengthening of national CERTs and cross-border mechanisms which are</w:t>
      </w:r>
      <w:r w:rsidRPr="004C1335">
        <w:rPr>
          <w:rFonts w:ascii="Calibri" w:eastAsia="Times New Roman" w:hAnsi="Calibri" w:cs="Calibri"/>
          <w:kern w:val="0"/>
          <w:lang w:eastAsia="en-KE"/>
          <w14:ligatures w14:val="none"/>
        </w:rPr>
        <w:t xml:space="preserve"> key resilience enablers. </w:t>
      </w:r>
      <w:sdt>
        <w:sdtPr>
          <w:rPr>
            <w:rFonts w:ascii="Calibri" w:eastAsia="Times New Roman" w:hAnsi="Calibri" w:cs="Calibri"/>
            <w:kern w:val="0"/>
            <w:lang w:eastAsia="en-KE"/>
            <w14:ligatures w14:val="none"/>
          </w:rPr>
          <w:id w:val="544718445"/>
          <w:citation/>
        </w:sdtPr>
        <w:sdtContent>
          <w:r w:rsidR="00D54C43" w:rsidRPr="004C1335">
            <w:rPr>
              <w:rFonts w:ascii="Calibri" w:eastAsia="Times New Roman" w:hAnsi="Calibri" w:cs="Calibri"/>
              <w:kern w:val="0"/>
              <w:lang w:eastAsia="en-KE"/>
              <w14:ligatures w14:val="none"/>
            </w:rPr>
            <w:fldChar w:fldCharType="begin"/>
          </w:r>
          <w:r w:rsidR="00D54C43" w:rsidRPr="004C1335">
            <w:rPr>
              <w:rFonts w:ascii="Calibri" w:eastAsia="Times New Roman" w:hAnsi="Calibri" w:cs="Calibri"/>
              <w:kern w:val="0"/>
              <w:lang w:val="en-US" w:eastAsia="en-KE"/>
              <w14:ligatures w14:val="none"/>
            </w:rPr>
            <w:instrText xml:space="preserve"> CITATION The19 \l 1033 </w:instrText>
          </w:r>
          <w:r w:rsidR="00D54C43" w:rsidRPr="004C1335">
            <w:rPr>
              <w:rFonts w:ascii="Calibri" w:eastAsia="Times New Roman" w:hAnsi="Calibri" w:cs="Calibri"/>
              <w:kern w:val="0"/>
              <w:lang w:eastAsia="en-KE"/>
              <w14:ligatures w14:val="none"/>
            </w:rPr>
            <w:fldChar w:fldCharType="separate"/>
          </w:r>
          <w:r w:rsidR="00D54C43" w:rsidRPr="004C1335">
            <w:rPr>
              <w:rFonts w:ascii="Calibri" w:eastAsia="Times New Roman" w:hAnsi="Calibri" w:cs="Calibri"/>
              <w:noProof/>
              <w:kern w:val="0"/>
              <w:lang w:val="en-US" w:eastAsia="en-KE"/>
              <w14:ligatures w14:val="none"/>
            </w:rPr>
            <w:t>(Kenya R. o., 2019)</w:t>
          </w:r>
          <w:r w:rsidR="00D54C43" w:rsidRPr="004C1335">
            <w:rPr>
              <w:rFonts w:ascii="Calibri" w:eastAsia="Times New Roman" w:hAnsi="Calibri" w:cs="Calibri"/>
              <w:kern w:val="0"/>
              <w:lang w:eastAsia="en-KE"/>
              <w14:ligatures w14:val="none"/>
            </w:rPr>
            <w:fldChar w:fldCharType="end"/>
          </w:r>
        </w:sdtContent>
      </w:sdt>
      <w:sdt>
        <w:sdtPr>
          <w:rPr>
            <w:rFonts w:ascii="Calibri" w:eastAsia="Times New Roman" w:hAnsi="Calibri" w:cs="Calibri"/>
            <w:kern w:val="0"/>
            <w:lang w:eastAsia="en-KE"/>
            <w14:ligatures w14:val="none"/>
          </w:rPr>
          <w:id w:val="563990740"/>
          <w:citation/>
        </w:sdtPr>
        <w:sdtContent>
          <w:r w:rsidR="00D54C43" w:rsidRPr="004C1335">
            <w:rPr>
              <w:rFonts w:ascii="Calibri" w:eastAsia="Times New Roman" w:hAnsi="Calibri" w:cs="Calibri"/>
              <w:kern w:val="0"/>
              <w:lang w:eastAsia="en-KE"/>
              <w14:ligatures w14:val="none"/>
            </w:rPr>
            <w:fldChar w:fldCharType="begin"/>
          </w:r>
          <w:r w:rsidR="00D54C43" w:rsidRPr="004C1335">
            <w:rPr>
              <w:rFonts w:ascii="Calibri" w:eastAsia="Times New Roman" w:hAnsi="Calibri" w:cs="Calibri"/>
              <w:kern w:val="0"/>
              <w:lang w:val="en-US" w:eastAsia="en-KE"/>
              <w14:ligatures w14:val="none"/>
            </w:rPr>
            <w:instrText xml:space="preserve"> CITATION Afr14 \l 1033 </w:instrText>
          </w:r>
          <w:r w:rsidR="00D54C43" w:rsidRPr="004C1335">
            <w:rPr>
              <w:rFonts w:ascii="Calibri" w:eastAsia="Times New Roman" w:hAnsi="Calibri" w:cs="Calibri"/>
              <w:kern w:val="0"/>
              <w:lang w:eastAsia="en-KE"/>
              <w14:ligatures w14:val="none"/>
            </w:rPr>
            <w:fldChar w:fldCharType="separate"/>
          </w:r>
          <w:r w:rsidR="00D54C43" w:rsidRPr="004C1335">
            <w:rPr>
              <w:rFonts w:ascii="Calibri" w:eastAsia="Times New Roman" w:hAnsi="Calibri" w:cs="Calibri"/>
              <w:noProof/>
              <w:kern w:val="0"/>
              <w:lang w:val="en-US" w:eastAsia="en-KE"/>
              <w14:ligatures w14:val="none"/>
            </w:rPr>
            <w:t xml:space="preserve"> (Union, 2014)</w:t>
          </w:r>
          <w:r w:rsidR="00D54C43" w:rsidRPr="004C1335">
            <w:rPr>
              <w:rFonts w:ascii="Calibri" w:eastAsia="Times New Roman" w:hAnsi="Calibri" w:cs="Calibri"/>
              <w:kern w:val="0"/>
              <w:lang w:eastAsia="en-KE"/>
              <w14:ligatures w14:val="none"/>
            </w:rPr>
            <w:fldChar w:fldCharType="end"/>
          </w:r>
        </w:sdtContent>
      </w:sdt>
    </w:p>
    <w:p w14:paraId="30A65DA1" w14:textId="0EFF6487" w:rsidR="00853589" w:rsidRPr="00C56697" w:rsidRDefault="00853589" w:rsidP="00853589">
      <w:pPr>
        <w:spacing w:before="100" w:beforeAutospacing="1" w:after="100" w:afterAutospacing="1" w:line="240" w:lineRule="auto"/>
        <w:jc w:val="both"/>
        <w:rPr>
          <w:rFonts w:ascii="Calibri" w:eastAsia="Times New Roman" w:hAnsi="Calibri" w:cs="Calibri"/>
          <w:i/>
          <w:iCs/>
          <w:kern w:val="0"/>
          <w:lang w:eastAsia="en-KE"/>
          <w14:ligatures w14:val="none"/>
        </w:rPr>
      </w:pPr>
      <w:r w:rsidRPr="00C56697">
        <w:rPr>
          <w:rFonts w:ascii="Calibri" w:eastAsia="Times New Roman" w:hAnsi="Calibri" w:cs="Calibri"/>
          <w:i/>
          <w:iCs/>
          <w:kern w:val="0"/>
          <w:lang w:eastAsia="en-KE"/>
          <w14:ligatures w14:val="none"/>
        </w:rPr>
        <w:t>Key legal and policy gaps regarding resilience</w:t>
      </w:r>
    </w:p>
    <w:p w14:paraId="7962AFB2" w14:textId="77777777" w:rsidR="00853589" w:rsidRPr="004C1335"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Despite the enabling language described above, three consistent gaps emerge in the texts and in practice.</w:t>
      </w:r>
    </w:p>
    <w:p w14:paraId="13E9CAAA" w14:textId="4872F444" w:rsidR="00853589" w:rsidRPr="008B1EE4" w:rsidRDefault="00853589" w:rsidP="004577C5">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Gap 1. </w:t>
      </w:r>
      <w:r w:rsidRPr="008B1EE4">
        <w:rPr>
          <w:rFonts w:ascii="Calibri" w:eastAsia="Times New Roman" w:hAnsi="Calibri" w:cs="Calibri"/>
          <w:kern w:val="0"/>
          <w:lang w:eastAsia="en-KE"/>
          <w14:ligatures w14:val="none"/>
        </w:rPr>
        <w:t>Absence of explicit resilience metrics and operational continuity obligations.</w:t>
      </w:r>
      <w:r w:rsidR="00944A9D">
        <w:rPr>
          <w:rFonts w:ascii="Calibri" w:eastAsia="Times New Roman" w:hAnsi="Calibri" w:cs="Calibri"/>
          <w:kern w:val="0"/>
          <w:lang w:eastAsia="en-KE"/>
          <w14:ligatures w14:val="none"/>
        </w:rPr>
        <w:t xml:space="preserve"> </w:t>
      </w:r>
      <w:r w:rsidRPr="008B1EE4">
        <w:rPr>
          <w:rFonts w:ascii="Calibri" w:eastAsia="Times New Roman" w:hAnsi="Calibri" w:cs="Calibri"/>
          <w:kern w:val="0"/>
          <w:lang w:eastAsia="en-KE"/>
          <w14:ligatures w14:val="none"/>
        </w:rPr>
        <w:t xml:space="preserve">Legal texts commonly require reasonable security measures but do not define operational metrics such as MTTR, service continuity thresholds, or required resilience test coverage. The effect is that compliance can be satisfied with documentary or preventive measures without demonstrable operational readiness. Numerous policy reviews and academic studies of African data protection regimes identify enforcement challenges and unclear operational expectations. </w:t>
      </w:r>
      <w:sdt>
        <w:sdtPr>
          <w:rPr>
            <w:rFonts w:ascii="Calibri" w:eastAsia="Times New Roman" w:hAnsi="Calibri" w:cs="Calibri"/>
            <w:kern w:val="0"/>
            <w:lang w:eastAsia="en-KE"/>
            <w14:ligatures w14:val="none"/>
          </w:rPr>
          <w:id w:val="385457243"/>
          <w:citation/>
        </w:sdtPr>
        <w:sdtContent>
          <w:r w:rsidR="0081578A" w:rsidRPr="008B1EE4">
            <w:rPr>
              <w:rFonts w:ascii="Calibri" w:eastAsia="Times New Roman" w:hAnsi="Calibri" w:cs="Calibri"/>
              <w:kern w:val="0"/>
              <w:lang w:eastAsia="en-KE"/>
              <w14:ligatures w14:val="none"/>
            </w:rPr>
            <w:fldChar w:fldCharType="begin"/>
          </w:r>
          <w:r w:rsidR="0081578A" w:rsidRPr="008B1EE4">
            <w:rPr>
              <w:rFonts w:ascii="Calibri" w:eastAsia="Times New Roman" w:hAnsi="Calibri" w:cs="Calibri"/>
              <w:kern w:val="0"/>
              <w:lang w:val="en-US" w:eastAsia="en-KE"/>
              <w14:ligatures w14:val="none"/>
            </w:rPr>
            <w:instrText xml:space="preserve"> CITATION Ken25 \l 1033 </w:instrText>
          </w:r>
          <w:r w:rsidR="0081578A" w:rsidRPr="008B1EE4">
            <w:rPr>
              <w:rFonts w:ascii="Calibri" w:eastAsia="Times New Roman" w:hAnsi="Calibri" w:cs="Calibri"/>
              <w:kern w:val="0"/>
              <w:lang w:eastAsia="en-KE"/>
              <w14:ligatures w14:val="none"/>
            </w:rPr>
            <w:fldChar w:fldCharType="separate"/>
          </w:r>
          <w:r w:rsidR="0081578A" w:rsidRPr="008B1EE4">
            <w:rPr>
              <w:rFonts w:ascii="Calibri" w:eastAsia="Times New Roman" w:hAnsi="Calibri" w:cs="Calibri"/>
              <w:noProof/>
              <w:kern w:val="0"/>
              <w:lang w:val="en-US" w:eastAsia="en-KE"/>
              <w14:ligatures w14:val="none"/>
            </w:rPr>
            <w:t>(Kamanda, 2025)</w:t>
          </w:r>
          <w:r w:rsidR="0081578A" w:rsidRPr="008B1EE4">
            <w:rPr>
              <w:rFonts w:ascii="Calibri" w:eastAsia="Times New Roman" w:hAnsi="Calibri" w:cs="Calibri"/>
              <w:kern w:val="0"/>
              <w:lang w:eastAsia="en-KE"/>
              <w14:ligatures w14:val="none"/>
            </w:rPr>
            <w:fldChar w:fldCharType="end"/>
          </w:r>
        </w:sdtContent>
      </w:sdt>
    </w:p>
    <w:p w14:paraId="13D573AC" w14:textId="6A796ACD" w:rsidR="00853589" w:rsidRPr="004C1335" w:rsidRDefault="00853589" w:rsidP="004577C5">
      <w:pPr>
        <w:spacing w:before="100" w:beforeAutospacing="1" w:after="100" w:afterAutospacing="1" w:line="240" w:lineRule="auto"/>
        <w:jc w:val="both"/>
        <w:rPr>
          <w:rFonts w:ascii="Calibri" w:eastAsia="Times New Roman" w:hAnsi="Calibri" w:cs="Calibri"/>
          <w:kern w:val="0"/>
          <w:lang w:eastAsia="en-KE"/>
          <w14:ligatures w14:val="none"/>
        </w:rPr>
      </w:pPr>
      <w:r w:rsidRPr="008B1EE4">
        <w:rPr>
          <w:rFonts w:ascii="Calibri" w:eastAsia="Times New Roman" w:hAnsi="Calibri" w:cs="Calibri"/>
          <w:kern w:val="0"/>
          <w:lang w:eastAsia="en-KE"/>
          <w14:ligatures w14:val="none"/>
        </w:rPr>
        <w:t>Gap 2. Limited prescription for resilience testing and validation.</w:t>
      </w:r>
      <w:r w:rsidR="00944A9D">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Statutes and regulations typically require security measures and breach notification, but few instruments require systematic resilience testing such as chaos engineering, adversarial simulation or mandatory recovery exercises. Where regulators have the authority to issue codes or guidance, these mechanisms could be used to require testing, but that depends on regulatory action. </w:t>
      </w:r>
      <w:sdt>
        <w:sdtPr>
          <w:rPr>
            <w:rFonts w:ascii="Calibri" w:eastAsia="Times New Roman" w:hAnsi="Calibri" w:cs="Calibri"/>
            <w:kern w:val="0"/>
            <w:lang w:eastAsia="en-KE"/>
            <w14:ligatures w14:val="none"/>
          </w:rPr>
          <w:id w:val="1137761919"/>
          <w:citation/>
        </w:sdtPr>
        <w:sdtContent>
          <w:r w:rsidR="00780097" w:rsidRPr="004C1335">
            <w:rPr>
              <w:rFonts w:ascii="Calibri" w:eastAsia="Times New Roman" w:hAnsi="Calibri" w:cs="Calibri"/>
              <w:kern w:val="0"/>
              <w:lang w:eastAsia="en-KE"/>
              <w14:ligatures w14:val="none"/>
            </w:rPr>
            <w:fldChar w:fldCharType="begin"/>
          </w:r>
          <w:r w:rsidR="00780097" w:rsidRPr="004C1335">
            <w:rPr>
              <w:rFonts w:ascii="Calibri" w:eastAsia="Times New Roman" w:hAnsi="Calibri" w:cs="Calibri"/>
              <w:kern w:val="0"/>
              <w:lang w:val="en-US" w:eastAsia="en-KE"/>
              <w14:ligatures w14:val="none"/>
            </w:rPr>
            <w:instrText xml:space="preserve"> CITATION The21 \l 1033 </w:instrText>
          </w:r>
          <w:r w:rsidR="00780097" w:rsidRPr="004C1335">
            <w:rPr>
              <w:rFonts w:ascii="Calibri" w:eastAsia="Times New Roman" w:hAnsi="Calibri" w:cs="Calibri"/>
              <w:kern w:val="0"/>
              <w:lang w:eastAsia="en-KE"/>
              <w14:ligatures w14:val="none"/>
            </w:rPr>
            <w:fldChar w:fldCharType="separate"/>
          </w:r>
          <w:r w:rsidR="00780097" w:rsidRPr="004C1335">
            <w:rPr>
              <w:rFonts w:ascii="Calibri" w:eastAsia="Times New Roman" w:hAnsi="Calibri" w:cs="Calibri"/>
              <w:noProof/>
              <w:kern w:val="0"/>
              <w:lang w:val="en-US" w:eastAsia="en-KE"/>
              <w14:ligatures w14:val="none"/>
            </w:rPr>
            <w:t>(Kenya T. R., 2021)</w:t>
          </w:r>
          <w:r w:rsidR="00780097" w:rsidRPr="004C1335">
            <w:rPr>
              <w:rFonts w:ascii="Calibri" w:eastAsia="Times New Roman" w:hAnsi="Calibri" w:cs="Calibri"/>
              <w:kern w:val="0"/>
              <w:lang w:eastAsia="en-KE"/>
              <w14:ligatures w14:val="none"/>
            </w:rPr>
            <w:fldChar w:fldCharType="end"/>
          </w:r>
        </w:sdtContent>
      </w:sdt>
    </w:p>
    <w:p w14:paraId="25353CCE" w14:textId="65E5A9D4" w:rsidR="00853589" w:rsidRPr="004C1335" w:rsidRDefault="00853589" w:rsidP="004577C5">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 xml:space="preserve">Gap 3. </w:t>
      </w:r>
      <w:r w:rsidRPr="008B1EE4">
        <w:rPr>
          <w:rFonts w:ascii="Calibri" w:eastAsia="Times New Roman" w:hAnsi="Calibri" w:cs="Calibri"/>
          <w:kern w:val="0"/>
          <w:lang w:eastAsia="en-KE"/>
          <w14:ligatures w14:val="none"/>
        </w:rPr>
        <w:t>Fragmented cross-border coordination mechanisms.</w:t>
      </w:r>
      <w:r w:rsidR="00C56697">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The Malabo Convention articulates cross-border cooperation aims, but treaty ratification and national implementation vary. Practical cross-border incident response depends on mutual assistance agreements, harmonised standards and shared playbooks that are not yet widely operational across the continent. Recent AU treaty metadata shows limited ratification in some regions, which constrains pan-African enforcement or mutual assistance. </w:t>
      </w:r>
      <w:sdt>
        <w:sdtPr>
          <w:rPr>
            <w:rFonts w:ascii="Calibri" w:eastAsia="Times New Roman" w:hAnsi="Calibri" w:cs="Calibri"/>
            <w:kern w:val="0"/>
            <w:lang w:eastAsia="en-KE"/>
            <w14:ligatures w14:val="none"/>
          </w:rPr>
          <w:id w:val="1566380666"/>
          <w:citation/>
        </w:sdtPr>
        <w:sdtContent>
          <w:r w:rsidR="00E859B5" w:rsidRPr="004C1335">
            <w:rPr>
              <w:rFonts w:ascii="Calibri" w:eastAsia="Times New Roman" w:hAnsi="Calibri" w:cs="Calibri"/>
              <w:kern w:val="0"/>
              <w:lang w:eastAsia="en-KE"/>
              <w14:ligatures w14:val="none"/>
            </w:rPr>
            <w:fldChar w:fldCharType="begin"/>
          </w:r>
          <w:r w:rsidR="00E859B5" w:rsidRPr="004C1335">
            <w:rPr>
              <w:rFonts w:ascii="Calibri" w:eastAsia="Times New Roman" w:hAnsi="Calibri" w:cs="Calibri"/>
              <w:kern w:val="0"/>
              <w:lang w:val="en-US" w:eastAsia="en-KE"/>
              <w14:ligatures w14:val="none"/>
            </w:rPr>
            <w:instrText xml:space="preserve"> CITATION Afr14 \l 1033 </w:instrText>
          </w:r>
          <w:r w:rsidR="00E859B5" w:rsidRPr="004C1335">
            <w:rPr>
              <w:rFonts w:ascii="Calibri" w:eastAsia="Times New Roman" w:hAnsi="Calibri" w:cs="Calibri"/>
              <w:kern w:val="0"/>
              <w:lang w:eastAsia="en-KE"/>
              <w14:ligatures w14:val="none"/>
            </w:rPr>
            <w:fldChar w:fldCharType="separate"/>
          </w:r>
          <w:r w:rsidR="00E859B5" w:rsidRPr="004C1335">
            <w:rPr>
              <w:rFonts w:ascii="Calibri" w:eastAsia="Times New Roman" w:hAnsi="Calibri" w:cs="Calibri"/>
              <w:noProof/>
              <w:kern w:val="0"/>
              <w:lang w:val="en-US" w:eastAsia="en-KE"/>
              <w14:ligatures w14:val="none"/>
            </w:rPr>
            <w:t>(Union, 2014)</w:t>
          </w:r>
          <w:r w:rsidR="00E859B5" w:rsidRPr="004C1335">
            <w:rPr>
              <w:rFonts w:ascii="Calibri" w:eastAsia="Times New Roman" w:hAnsi="Calibri" w:cs="Calibri"/>
              <w:kern w:val="0"/>
              <w:lang w:eastAsia="en-KE"/>
              <w14:ligatures w14:val="none"/>
            </w:rPr>
            <w:fldChar w:fldCharType="end"/>
          </w:r>
        </w:sdtContent>
      </w:sdt>
    </w:p>
    <w:p w14:paraId="066A7EAF" w14:textId="053319CA" w:rsidR="00853589" w:rsidRPr="00C56697" w:rsidRDefault="00853589" w:rsidP="00853589">
      <w:pPr>
        <w:spacing w:before="100" w:beforeAutospacing="1" w:after="100" w:afterAutospacing="1" w:line="240" w:lineRule="auto"/>
        <w:jc w:val="both"/>
        <w:rPr>
          <w:rFonts w:ascii="Calibri" w:eastAsia="Times New Roman" w:hAnsi="Calibri" w:cs="Calibri"/>
          <w:i/>
          <w:iCs/>
          <w:kern w:val="0"/>
          <w:lang w:eastAsia="en-KE"/>
          <w14:ligatures w14:val="none"/>
        </w:rPr>
      </w:pPr>
      <w:r w:rsidRPr="00C56697">
        <w:rPr>
          <w:rFonts w:ascii="Calibri" w:eastAsia="Times New Roman" w:hAnsi="Calibri" w:cs="Calibri"/>
          <w:i/>
          <w:iCs/>
          <w:kern w:val="0"/>
          <w:lang w:eastAsia="en-KE"/>
          <w14:ligatures w14:val="none"/>
        </w:rPr>
        <w:t>Enforcement, capacity and resourcing challenges</w:t>
      </w:r>
    </w:p>
    <w:p w14:paraId="3E8ABCDE" w14:textId="6641C512" w:rsidR="00853589" w:rsidRPr="004C1335"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Regulatory regimes face capacity constraints that affect their ability to enforce resilience norms. Establishing an Information Regulator is an important step, but enforcement requires technical capacity, monitoring systems and sectoral cooperation. Policy commentary on Kenya’s data protection journey highlights enforcement gaps, resource constraints, and the need for stronger technical guidance and public awareness to translate statutory principles into operational practice. These capacity issues are particularly important for resilience because resilience obligations require continuous monitoring, testing and cross-sector coordination. </w:t>
      </w:r>
      <w:sdt>
        <w:sdtPr>
          <w:rPr>
            <w:rFonts w:ascii="Calibri" w:eastAsia="Times New Roman" w:hAnsi="Calibri" w:cs="Calibri"/>
            <w:kern w:val="0"/>
            <w:lang w:eastAsia="en-KE"/>
            <w14:ligatures w14:val="none"/>
          </w:rPr>
          <w:id w:val="-1736775859"/>
          <w:citation/>
        </w:sdtPr>
        <w:sdtContent>
          <w:r w:rsidR="00E7514A" w:rsidRPr="004C1335">
            <w:rPr>
              <w:rFonts w:ascii="Calibri" w:eastAsia="Times New Roman" w:hAnsi="Calibri" w:cs="Calibri"/>
              <w:kern w:val="0"/>
              <w:lang w:eastAsia="en-KE"/>
              <w14:ligatures w14:val="none"/>
            </w:rPr>
            <w:fldChar w:fldCharType="begin"/>
          </w:r>
          <w:r w:rsidR="00E7514A" w:rsidRPr="004C1335">
            <w:rPr>
              <w:rFonts w:ascii="Calibri" w:eastAsia="Times New Roman" w:hAnsi="Calibri" w:cs="Calibri"/>
              <w:kern w:val="0"/>
              <w:lang w:val="en-US" w:eastAsia="en-KE"/>
              <w14:ligatures w14:val="none"/>
            </w:rPr>
            <w:instrText xml:space="preserve"> CITATION Ken25 \l 1033 </w:instrText>
          </w:r>
          <w:r w:rsidR="00E7514A" w:rsidRPr="004C1335">
            <w:rPr>
              <w:rFonts w:ascii="Calibri" w:eastAsia="Times New Roman" w:hAnsi="Calibri" w:cs="Calibri"/>
              <w:kern w:val="0"/>
              <w:lang w:eastAsia="en-KE"/>
              <w14:ligatures w14:val="none"/>
            </w:rPr>
            <w:fldChar w:fldCharType="separate"/>
          </w:r>
          <w:r w:rsidR="00E7514A" w:rsidRPr="004C1335">
            <w:rPr>
              <w:rFonts w:ascii="Calibri" w:eastAsia="Times New Roman" w:hAnsi="Calibri" w:cs="Calibri"/>
              <w:noProof/>
              <w:kern w:val="0"/>
              <w:lang w:val="en-US" w:eastAsia="en-KE"/>
              <w14:ligatures w14:val="none"/>
            </w:rPr>
            <w:t>(Kamanda, 2025)</w:t>
          </w:r>
          <w:r w:rsidR="00E7514A" w:rsidRPr="004C1335">
            <w:rPr>
              <w:rFonts w:ascii="Calibri" w:eastAsia="Times New Roman" w:hAnsi="Calibri" w:cs="Calibri"/>
              <w:kern w:val="0"/>
              <w:lang w:eastAsia="en-KE"/>
              <w14:ligatures w14:val="none"/>
            </w:rPr>
            <w:fldChar w:fldCharType="end"/>
          </w:r>
        </w:sdtContent>
      </w:sdt>
    </w:p>
    <w:p w14:paraId="6B7C5A73" w14:textId="42CEEBAD" w:rsidR="00853589" w:rsidRPr="00425ABB" w:rsidRDefault="00853589" w:rsidP="00853589">
      <w:pPr>
        <w:spacing w:before="100" w:beforeAutospacing="1" w:after="100" w:afterAutospacing="1" w:line="240" w:lineRule="auto"/>
        <w:jc w:val="both"/>
        <w:rPr>
          <w:rFonts w:ascii="Calibri" w:eastAsia="Times New Roman" w:hAnsi="Calibri" w:cs="Calibri"/>
          <w:i/>
          <w:iCs/>
          <w:kern w:val="0"/>
          <w:lang w:eastAsia="en-KE"/>
          <w14:ligatures w14:val="none"/>
        </w:rPr>
      </w:pPr>
      <w:r w:rsidRPr="00425ABB">
        <w:rPr>
          <w:rFonts w:ascii="Calibri" w:eastAsia="Times New Roman" w:hAnsi="Calibri" w:cs="Calibri"/>
          <w:i/>
          <w:iCs/>
          <w:kern w:val="0"/>
          <w:lang w:eastAsia="en-KE"/>
          <w14:ligatures w14:val="none"/>
        </w:rPr>
        <w:t>Sectoral considerations and critical infrastructure</w:t>
      </w:r>
    </w:p>
    <w:p w14:paraId="1CA6EAC3" w14:textId="5E6E1FEB" w:rsidR="00853589" w:rsidRPr="004C1335"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Certain sectors present elevated resilience needs. Financial services, health systems and national identity registries are examples where service continuity is essential for public welfare. While data protection laws provide a baseline for securing data, sectoral regulators often need to set stricter continuity and resilience requirements. For example, central banks and financial sector regulators frequently mandate business continuity and operational resilience standards for payment systems and banks. Integrating data protection resilience obligations with sectoral continuity rules can create a stronger overall safety net. This integration remains uneven across African jurisdictions.</w:t>
      </w:r>
    </w:p>
    <w:p w14:paraId="4A88ED6B" w14:textId="54FF63ED" w:rsidR="00853589" w:rsidRPr="00E05636" w:rsidRDefault="00853589" w:rsidP="00E05636">
      <w:pPr>
        <w:pStyle w:val="Heading2"/>
        <w:jc w:val="center"/>
        <w:rPr>
          <w:rFonts w:eastAsia="Times New Roman"/>
          <w:sz w:val="28"/>
          <w:szCs w:val="28"/>
          <w:lang w:eastAsia="en-KE"/>
        </w:rPr>
      </w:pPr>
      <w:bookmarkStart w:id="8" w:name="_Toc213772610"/>
      <w:r w:rsidRPr="00E05636">
        <w:rPr>
          <w:rFonts w:eastAsia="Times New Roman"/>
          <w:sz w:val="28"/>
          <w:szCs w:val="28"/>
          <w:lang w:eastAsia="en-KE"/>
        </w:rPr>
        <w:t>Synthesis and implications for policy</w:t>
      </w:r>
      <w:bookmarkEnd w:id="8"/>
    </w:p>
    <w:p w14:paraId="0208ECA7" w14:textId="77777777" w:rsidR="00853589" w:rsidRPr="004C1335"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legal architecture across Kenya, the AU and comparator jurisdictions creates both opportunities and constraints for embedding resilience. Opportunities include data-protection-by-design clauses, incident reporting regimes and the AU’s cross-border cooperation mandate. Constraints include the lack of explicit operational metrics, limited prescriptive testing requirements and uneven implementation capacity.</w:t>
      </w:r>
    </w:p>
    <w:p w14:paraId="4E68E27E" w14:textId="77777777" w:rsidR="008B1EE4"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From a policy perspective, closing this gap requires three strategic steps. First, regulators should clarify that “appropriate technical and organisational measures” includes measurable resilience outcomes and should publish guidance on resilience metrics. Second, regulators and sectoral supervisors should mandate or incentivise resilience testing and reporting. </w:t>
      </w:r>
    </w:p>
    <w:p w14:paraId="2B6B80C9" w14:textId="5472AD22" w:rsidR="00853589" w:rsidRPr="004C1335" w:rsidRDefault="00853589" w:rsidP="0085358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Third, the AU and regional bodies should accelerate operational mutual assistance frameworks and support capacity building for CERTs and regulators. The remainder of this article develops a technical and governance blueprint that aligns to these policy priorities.</w:t>
      </w:r>
    </w:p>
    <w:p w14:paraId="1E155F4B" w14:textId="4EDEB05A" w:rsidR="00CF4F88" w:rsidRPr="00043D52" w:rsidRDefault="00CF4F88" w:rsidP="00043D52">
      <w:pPr>
        <w:pStyle w:val="Heading1"/>
        <w:jc w:val="center"/>
        <w:rPr>
          <w:rFonts w:eastAsia="Times New Roman"/>
          <w:sz w:val="32"/>
          <w:szCs w:val="32"/>
          <w:lang w:eastAsia="en-KE"/>
        </w:rPr>
      </w:pPr>
      <w:bookmarkStart w:id="9" w:name="_Toc213772611"/>
      <w:r w:rsidRPr="00043D52">
        <w:rPr>
          <w:rFonts w:eastAsia="Times New Roman"/>
          <w:sz w:val="32"/>
          <w:szCs w:val="32"/>
          <w:lang w:eastAsia="en-KE"/>
        </w:rPr>
        <w:t>Design-Level Resilience</w:t>
      </w:r>
      <w:bookmarkEnd w:id="9"/>
    </w:p>
    <w:p w14:paraId="432CF2B3" w14:textId="2E560802" w:rsidR="004577C5" w:rsidRPr="00425ABB" w:rsidRDefault="00CF4F88" w:rsidP="00425ABB">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In this section we focus on how resilience can be embedded at the design stage of data systems rather than treated as an add-on. By integrating resilience requirements into architecture, system designers reduce single points of failure, improve recoverability and ensure that systems can continue operating under adverse conditions. We examine four core technical integration areas: zero-trust architecture (ZTA), fault-tolerant engineering, multi-cloud redundancy and immutable data stores.</w:t>
      </w:r>
      <w:bookmarkStart w:id="10" w:name="_Toc213772612"/>
    </w:p>
    <w:p w14:paraId="0D11C06C" w14:textId="5BE389DE" w:rsidR="00DB56F2" w:rsidRPr="00DB56F2" w:rsidRDefault="00DB56F2" w:rsidP="00DB56F2">
      <w:pPr>
        <w:pStyle w:val="Heading2"/>
        <w:jc w:val="center"/>
        <w:rPr>
          <w:rFonts w:eastAsia="Times New Roman"/>
          <w:sz w:val="28"/>
          <w:szCs w:val="28"/>
          <w:lang w:eastAsia="en-KE"/>
        </w:rPr>
      </w:pPr>
      <w:r w:rsidRPr="00DB56F2">
        <w:rPr>
          <w:rFonts w:eastAsia="Times New Roman"/>
          <w:sz w:val="28"/>
          <w:szCs w:val="28"/>
          <w:lang w:eastAsia="en-KE"/>
        </w:rPr>
        <w:t>Technical Integration</w:t>
      </w:r>
      <w:bookmarkEnd w:id="10"/>
    </w:p>
    <w:p w14:paraId="476B119F" w14:textId="4158F73D" w:rsidR="00CF4F88" w:rsidRPr="00425ABB" w:rsidRDefault="00CF4F88" w:rsidP="00CF4F88">
      <w:pPr>
        <w:spacing w:before="100" w:beforeAutospacing="1" w:after="100" w:afterAutospacing="1" w:line="240" w:lineRule="auto"/>
        <w:jc w:val="both"/>
        <w:rPr>
          <w:rFonts w:ascii="Calibri" w:eastAsia="Times New Roman" w:hAnsi="Calibri" w:cs="Calibri"/>
          <w:i/>
          <w:iCs/>
          <w:kern w:val="0"/>
          <w:lang w:eastAsia="en-KE"/>
          <w14:ligatures w14:val="none"/>
        </w:rPr>
      </w:pPr>
      <w:r w:rsidRPr="00425ABB">
        <w:rPr>
          <w:rFonts w:ascii="Calibri" w:eastAsia="Times New Roman" w:hAnsi="Calibri" w:cs="Calibri"/>
          <w:i/>
          <w:iCs/>
          <w:kern w:val="0"/>
          <w:lang w:eastAsia="en-KE"/>
          <w14:ligatures w14:val="none"/>
        </w:rPr>
        <w:t>Zero-Trust Architecture (ZTA)</w:t>
      </w:r>
      <w:r w:rsidR="001E1C1D" w:rsidRPr="00425ABB">
        <w:rPr>
          <w:rFonts w:ascii="Calibri" w:eastAsia="Times New Roman" w:hAnsi="Calibri" w:cs="Calibri"/>
          <w:i/>
          <w:iCs/>
          <w:kern w:val="0"/>
          <w:lang w:eastAsia="en-KE"/>
          <w14:ligatures w14:val="none"/>
        </w:rPr>
        <w:t xml:space="preserve"> - </w:t>
      </w:r>
      <w:r w:rsidRPr="00425ABB">
        <w:rPr>
          <w:rFonts w:ascii="Calibri" w:eastAsia="Times New Roman" w:hAnsi="Calibri" w:cs="Calibri"/>
          <w:i/>
          <w:iCs/>
          <w:kern w:val="0"/>
          <w:lang w:eastAsia="en-KE"/>
          <w14:ligatures w14:val="none"/>
        </w:rPr>
        <w:t>Minimizing Implicit Trust</w:t>
      </w:r>
    </w:p>
    <w:p w14:paraId="57B9A1D6" w14:textId="0451784F" w:rsidR="00BB3B14" w:rsidRPr="004C1335" w:rsidRDefault="00CF4F88" w:rsidP="00CF4F88">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Zero-trust architecture (ZTA) represents a paradigm shift in how access and trust are managed within digital systems. Rather than assuming that assets inside a network perimeter are inherently safe, ZTA treats every request for access as potentially untrusted and verifies it dynamically. According to one industry summary</w:t>
      </w:r>
      <w:r w:rsidR="00A24396"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“Every request to access data or a service should be authenticated and authorised against an access policy.” </w:t>
      </w:r>
      <w:sdt>
        <w:sdtPr>
          <w:rPr>
            <w:rFonts w:ascii="Calibri" w:eastAsia="Times New Roman" w:hAnsi="Calibri" w:cs="Calibri"/>
            <w:kern w:val="0"/>
            <w:lang w:eastAsia="en-KE"/>
            <w14:ligatures w14:val="none"/>
          </w:rPr>
          <w:id w:val="-1208867115"/>
          <w:citation/>
        </w:sdtPr>
        <w:sdtContent>
          <w:r w:rsidR="00A12DDB" w:rsidRPr="004C1335">
            <w:rPr>
              <w:rFonts w:ascii="Calibri" w:eastAsia="Times New Roman" w:hAnsi="Calibri" w:cs="Calibri"/>
              <w:kern w:val="0"/>
              <w:lang w:eastAsia="en-KE"/>
              <w14:ligatures w14:val="none"/>
            </w:rPr>
            <w:fldChar w:fldCharType="begin"/>
          </w:r>
          <w:r w:rsidR="009149EA" w:rsidRPr="004C1335">
            <w:rPr>
              <w:rFonts w:ascii="Calibri" w:eastAsia="Times New Roman" w:hAnsi="Calibri" w:cs="Calibri"/>
              <w:kern w:val="0"/>
              <w:lang w:val="en-US" w:eastAsia="en-KE"/>
              <w14:ligatures w14:val="none"/>
            </w:rPr>
            <w:instrText xml:space="preserve">CITATION IoT22 \l 1033 </w:instrText>
          </w:r>
          <w:r w:rsidR="00A12DDB" w:rsidRPr="004C1335">
            <w:rPr>
              <w:rFonts w:ascii="Calibri" w:eastAsia="Times New Roman" w:hAnsi="Calibri" w:cs="Calibri"/>
              <w:kern w:val="0"/>
              <w:lang w:eastAsia="en-KE"/>
              <w14:ligatures w14:val="none"/>
            </w:rPr>
            <w:fldChar w:fldCharType="separate"/>
          </w:r>
          <w:r w:rsidR="009149EA" w:rsidRPr="004C1335">
            <w:rPr>
              <w:rFonts w:ascii="Calibri" w:eastAsia="Times New Roman" w:hAnsi="Calibri" w:cs="Calibri"/>
              <w:noProof/>
              <w:kern w:val="0"/>
              <w:lang w:val="en-US" w:eastAsia="en-KE"/>
              <w14:ligatures w14:val="none"/>
            </w:rPr>
            <w:t>(Network, 2022)</w:t>
          </w:r>
          <w:r w:rsidR="00A12DDB" w:rsidRPr="004C1335">
            <w:rPr>
              <w:rFonts w:ascii="Calibri" w:eastAsia="Times New Roman" w:hAnsi="Calibri" w:cs="Calibri"/>
              <w:kern w:val="0"/>
              <w:lang w:eastAsia="en-KE"/>
              <w14:ligatures w14:val="none"/>
            </w:rPr>
            <w:fldChar w:fldCharType="end"/>
          </w:r>
        </w:sdtContent>
      </w:sdt>
      <w:r w:rsidR="00557FBB">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Another industry definition emphasizes</w:t>
      </w:r>
      <w:r w:rsidR="00A12DDB"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“Zero Trust Architecture</w:t>
      </w:r>
      <w:r w:rsidR="00A12DDB"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treats every user, device, and application as untrusted by default</w:t>
      </w:r>
      <w:r w:rsidR="00512AC6"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whether inside or outside the network.” </w:t>
      </w:r>
      <w:sdt>
        <w:sdtPr>
          <w:rPr>
            <w:rFonts w:ascii="Calibri" w:eastAsia="Times New Roman" w:hAnsi="Calibri" w:cs="Calibri"/>
            <w:kern w:val="0"/>
            <w:lang w:eastAsia="en-KE"/>
            <w14:ligatures w14:val="none"/>
          </w:rPr>
          <w:id w:val="-1366444543"/>
          <w:citation/>
        </w:sdtPr>
        <w:sdtContent>
          <w:r w:rsidR="00F64564" w:rsidRPr="004C1335">
            <w:rPr>
              <w:rFonts w:ascii="Calibri" w:eastAsia="Times New Roman" w:hAnsi="Calibri" w:cs="Calibri"/>
              <w:kern w:val="0"/>
              <w:lang w:eastAsia="en-KE"/>
              <w14:ligatures w14:val="none"/>
            </w:rPr>
            <w:fldChar w:fldCharType="begin"/>
          </w:r>
          <w:r w:rsidR="009149EA" w:rsidRPr="004C1335">
            <w:rPr>
              <w:rFonts w:ascii="Calibri" w:eastAsia="Times New Roman" w:hAnsi="Calibri" w:cs="Calibri"/>
              <w:kern w:val="0"/>
              <w:lang w:val="en-US" w:eastAsia="en-KE"/>
              <w14:ligatures w14:val="none"/>
            </w:rPr>
            <w:instrText xml:space="preserve">CITATION Pal24 \l 1033 </w:instrText>
          </w:r>
          <w:r w:rsidR="00F64564" w:rsidRPr="004C1335">
            <w:rPr>
              <w:rFonts w:ascii="Calibri" w:eastAsia="Times New Roman" w:hAnsi="Calibri" w:cs="Calibri"/>
              <w:kern w:val="0"/>
              <w:lang w:eastAsia="en-KE"/>
              <w14:ligatures w14:val="none"/>
            </w:rPr>
            <w:fldChar w:fldCharType="separate"/>
          </w:r>
          <w:r w:rsidR="009149EA" w:rsidRPr="004C1335">
            <w:rPr>
              <w:rFonts w:ascii="Calibri" w:eastAsia="Times New Roman" w:hAnsi="Calibri" w:cs="Calibri"/>
              <w:noProof/>
              <w:kern w:val="0"/>
              <w:lang w:val="en-US" w:eastAsia="en-KE"/>
              <w14:ligatures w14:val="none"/>
            </w:rPr>
            <w:t>(Networks, 2024)</w:t>
          </w:r>
          <w:r w:rsidR="00F64564" w:rsidRPr="004C1335">
            <w:rPr>
              <w:rFonts w:ascii="Calibri" w:eastAsia="Times New Roman" w:hAnsi="Calibri" w:cs="Calibri"/>
              <w:kern w:val="0"/>
              <w:lang w:eastAsia="en-KE"/>
              <w14:ligatures w14:val="none"/>
            </w:rPr>
            <w:fldChar w:fldCharType="end"/>
          </w:r>
        </w:sdtContent>
      </w:sdt>
      <w:r w:rsidR="00F320D4" w:rsidRPr="004C1335">
        <w:rPr>
          <w:rFonts w:ascii="Calibri" w:eastAsia="Times New Roman" w:hAnsi="Calibri" w:cs="Calibri"/>
          <w:kern w:val="0"/>
          <w:lang w:eastAsia="en-KE"/>
          <w14:ligatures w14:val="none"/>
        </w:rPr>
        <w:t>. The goal of minimizing implicit trust can be implemented through the following</w:t>
      </w:r>
      <w:r w:rsidR="00680539">
        <w:rPr>
          <w:rFonts w:ascii="Calibri" w:eastAsia="Times New Roman" w:hAnsi="Calibri" w:cs="Calibri"/>
          <w:kern w:val="0"/>
          <w:lang w:eastAsia="en-KE"/>
          <w14:ligatures w14:val="none"/>
        </w:rPr>
        <w:t>:</w:t>
      </w:r>
    </w:p>
    <w:p w14:paraId="5728E69F" w14:textId="07326FEB" w:rsidR="00CF4F88" w:rsidRPr="004C1335" w:rsidRDefault="00CF4F88" w:rsidP="008B1EE4">
      <w:pPr>
        <w:numPr>
          <w:ilvl w:val="0"/>
          <w:numId w:val="5"/>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Verify explicitly all identity, device and session attributes.</w:t>
      </w:r>
    </w:p>
    <w:p w14:paraId="572438D4" w14:textId="11CF5689" w:rsidR="00CF4F88" w:rsidRPr="004C1335" w:rsidRDefault="00CF4F88" w:rsidP="008B1EE4">
      <w:pPr>
        <w:numPr>
          <w:ilvl w:val="0"/>
          <w:numId w:val="5"/>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Grant least-privilege access</w:t>
      </w:r>
      <w:r w:rsidR="0021197E"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only the minimum necessary permissions.</w:t>
      </w:r>
    </w:p>
    <w:p w14:paraId="23A4F967" w14:textId="2AF181C8" w:rsidR="00CF4F88" w:rsidRPr="004C1335" w:rsidRDefault="00CF4F88" w:rsidP="008B1EE4">
      <w:pPr>
        <w:numPr>
          <w:ilvl w:val="0"/>
          <w:numId w:val="5"/>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Assume breach: design for the possibility that attackers are already inside the system.</w:t>
      </w:r>
    </w:p>
    <w:p w14:paraId="0B00BCD6" w14:textId="13ECB865" w:rsidR="00CF4F88" w:rsidRPr="004C1335" w:rsidRDefault="00CF4F88" w:rsidP="008B1EE4">
      <w:pPr>
        <w:numPr>
          <w:ilvl w:val="0"/>
          <w:numId w:val="5"/>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Continuous monitoring and micro-segmentation to limit lateral movement.</w:t>
      </w:r>
      <w:r w:rsidRPr="004C1335">
        <w:rPr>
          <w:rFonts w:ascii="Calibri" w:eastAsia="Times New Roman" w:hAnsi="Calibri" w:cs="Calibri"/>
          <w:kern w:val="0"/>
          <w:lang w:eastAsia="en-KE"/>
          <w14:ligatures w14:val="none"/>
        </w:rPr>
        <w:br/>
        <w:t>By embedding ZTA at the design-level of a data system, organisations reduce not only the likelihood of compromise but also the impact of compromise by limiting trust boundaries and implicitly creating built-in containment zones.</w:t>
      </w:r>
    </w:p>
    <w:p w14:paraId="36591E1B" w14:textId="77777777" w:rsidR="00CF4F88" w:rsidRPr="004C1335" w:rsidRDefault="00CF4F88" w:rsidP="00CF4F88">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In an African context where digital systems are increasingly hybrid (on-premises + cloud + edge) and where infrastructure may be heterogeneous, ZTA helps by reducing reliance on legacy perimeter defences that may be weaker or inconsistently maintained. Embedding ZTA means designing from the outset to treat network segments, IoT devices, remote access points and external data flows as “untrusted” and therefore requiring verification. This anticipatory design supports resilience by reducing the “blast radius” of potential failures or attacks.</w:t>
      </w:r>
    </w:p>
    <w:p w14:paraId="13E4CCC6" w14:textId="66F7FF20" w:rsidR="00CF4F88" w:rsidRPr="00557FBB" w:rsidRDefault="00CF4F88" w:rsidP="00CF4F88">
      <w:pPr>
        <w:spacing w:before="100" w:beforeAutospacing="1" w:after="100" w:afterAutospacing="1" w:line="240" w:lineRule="auto"/>
        <w:jc w:val="both"/>
        <w:rPr>
          <w:rFonts w:ascii="Calibri" w:eastAsia="Times New Roman" w:hAnsi="Calibri" w:cs="Calibri"/>
          <w:kern w:val="0"/>
          <w:lang w:eastAsia="en-KE"/>
          <w14:ligatures w14:val="none"/>
        </w:rPr>
      </w:pPr>
      <w:r w:rsidRPr="00557FBB">
        <w:rPr>
          <w:rFonts w:ascii="Calibri" w:eastAsia="Times New Roman" w:hAnsi="Calibri" w:cs="Calibri"/>
          <w:kern w:val="0"/>
          <w:lang w:eastAsia="en-KE"/>
          <w14:ligatures w14:val="none"/>
        </w:rPr>
        <w:lastRenderedPageBreak/>
        <w:t>Fault-Tolerant Engineering</w:t>
      </w:r>
      <w:r w:rsidR="00A84190" w:rsidRPr="00557FBB">
        <w:rPr>
          <w:rFonts w:ascii="Calibri" w:eastAsia="Times New Roman" w:hAnsi="Calibri" w:cs="Calibri"/>
          <w:kern w:val="0"/>
          <w:lang w:eastAsia="en-KE"/>
          <w14:ligatures w14:val="none"/>
        </w:rPr>
        <w:t xml:space="preserve"> - </w:t>
      </w:r>
      <w:r w:rsidRPr="00557FBB">
        <w:rPr>
          <w:rFonts w:ascii="Calibri" w:eastAsia="Times New Roman" w:hAnsi="Calibri" w:cs="Calibri"/>
          <w:kern w:val="0"/>
          <w:lang w:eastAsia="en-KE"/>
          <w14:ligatures w14:val="none"/>
        </w:rPr>
        <w:t>Redundancy, Replication and Graceful Degradation</w:t>
      </w:r>
    </w:p>
    <w:p w14:paraId="25354C40" w14:textId="2BF21A5F" w:rsidR="004577C5" w:rsidRPr="004C1335" w:rsidRDefault="00CF4F88" w:rsidP="00CF4F88">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Fault-tolerant engineering refers to the architectural design practices that enable systems to continue functioning even when individual components fail or degrade. According to the reliability pillar of the Google Cloud Well</w:t>
      </w:r>
      <w:r w:rsidRPr="004C1335">
        <w:rPr>
          <w:rFonts w:ascii="Calibri" w:eastAsia="Times New Roman" w:hAnsi="Calibri" w:cs="Calibri"/>
          <w:kern w:val="0"/>
          <w:lang w:eastAsia="en-KE"/>
          <w14:ligatures w14:val="none"/>
        </w:rPr>
        <w:noBreakHyphen/>
        <w:t>Architected Framework</w:t>
      </w:r>
      <w:r w:rsidR="007A7262">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“Build highly available systems through resource redundancy</w:t>
      </w:r>
      <w:r w:rsidR="00E91F23" w:rsidRPr="004C1335">
        <w:rPr>
          <w:rFonts w:ascii="Calibri" w:eastAsia="Times New Roman" w:hAnsi="Calibri" w:cs="Calibri"/>
          <w:kern w:val="0"/>
          <w:lang w:eastAsia="en-KE"/>
          <w14:ligatures w14:val="none"/>
        </w:rPr>
        <w:t>, that is, d</w:t>
      </w:r>
      <w:r w:rsidRPr="004C1335">
        <w:rPr>
          <w:rFonts w:ascii="Calibri" w:eastAsia="Times New Roman" w:hAnsi="Calibri" w:cs="Calibri"/>
          <w:kern w:val="0"/>
          <w:lang w:eastAsia="en-KE"/>
          <w14:ligatures w14:val="none"/>
        </w:rPr>
        <w:t>esign for graceful degradation”</w:t>
      </w:r>
      <w:sdt>
        <w:sdtPr>
          <w:rPr>
            <w:rFonts w:ascii="Calibri" w:eastAsia="Times New Roman" w:hAnsi="Calibri" w:cs="Calibri"/>
            <w:kern w:val="0"/>
            <w:lang w:eastAsia="en-KE"/>
            <w14:ligatures w14:val="none"/>
          </w:rPr>
          <w:id w:val="565297154"/>
          <w:citation/>
        </w:sdtPr>
        <w:sdtContent>
          <w:r w:rsidR="006B15ED" w:rsidRPr="004C1335">
            <w:rPr>
              <w:rFonts w:ascii="Calibri" w:eastAsia="Times New Roman" w:hAnsi="Calibri" w:cs="Calibri"/>
              <w:kern w:val="0"/>
              <w:lang w:eastAsia="en-KE"/>
              <w14:ligatures w14:val="none"/>
            </w:rPr>
            <w:fldChar w:fldCharType="begin"/>
          </w:r>
          <w:r w:rsidR="009149EA" w:rsidRPr="004C1335">
            <w:rPr>
              <w:rFonts w:ascii="Calibri" w:eastAsia="Times New Roman" w:hAnsi="Calibri" w:cs="Calibri"/>
              <w:kern w:val="0"/>
              <w:lang w:val="en-US" w:eastAsia="en-KE"/>
              <w14:ligatures w14:val="none"/>
            </w:rPr>
            <w:instrText xml:space="preserve">CITATION Goo24 \l 1033 </w:instrText>
          </w:r>
          <w:r w:rsidR="006B15ED" w:rsidRPr="004C1335">
            <w:rPr>
              <w:rFonts w:ascii="Calibri" w:eastAsia="Times New Roman" w:hAnsi="Calibri" w:cs="Calibri"/>
              <w:kern w:val="0"/>
              <w:lang w:eastAsia="en-KE"/>
              <w14:ligatures w14:val="none"/>
            </w:rPr>
            <w:fldChar w:fldCharType="separate"/>
          </w:r>
          <w:r w:rsidR="009149EA" w:rsidRPr="004C1335">
            <w:rPr>
              <w:rFonts w:ascii="Calibri" w:eastAsia="Times New Roman" w:hAnsi="Calibri" w:cs="Calibri"/>
              <w:noProof/>
              <w:kern w:val="0"/>
              <w:lang w:val="en-US" w:eastAsia="en-KE"/>
              <w14:ligatures w14:val="none"/>
            </w:rPr>
            <w:t xml:space="preserve"> (Cloud, 2024)</w:t>
          </w:r>
          <w:r w:rsidR="006B15ED" w:rsidRPr="004C1335">
            <w:rPr>
              <w:rFonts w:ascii="Calibri" w:eastAsia="Times New Roman" w:hAnsi="Calibri" w:cs="Calibri"/>
              <w:kern w:val="0"/>
              <w:lang w:eastAsia="en-KE"/>
              <w14:ligatures w14:val="none"/>
            </w:rPr>
            <w:fldChar w:fldCharType="end"/>
          </w:r>
        </w:sdtContent>
      </w:sdt>
      <w:r w:rsidR="006B15ED"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Similarly, a recent engineering study on cloud-native design patterns</w:t>
      </w:r>
      <w:r w:rsidR="006B15ED"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notes</w:t>
      </w:r>
      <w:r w:rsidR="006B15ED"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“A layered approach to resilience</w:t>
      </w:r>
      <w:r w:rsidR="006B15ED"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combining proactive and reactive fault-handling strategies</w:t>
      </w:r>
      <w:r w:rsidR="006B15ED"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significantly improves system uptime, reduces mean time to recovery</w:t>
      </w:r>
      <w:r w:rsidR="00D81159"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(MTTR), and enhances service quality under stress.</w:t>
      </w:r>
      <w:r w:rsidR="00D81159" w:rsidRPr="004C1335">
        <w:rPr>
          <w:rFonts w:ascii="Calibri" w:eastAsia="Times New Roman" w:hAnsi="Calibri" w:cs="Calibri"/>
          <w:kern w:val="0"/>
          <w:lang w:eastAsia="en-KE"/>
          <w14:ligatures w14:val="none"/>
        </w:rPr>
        <w:t xml:space="preserve">’’ </w:t>
      </w:r>
      <w:sdt>
        <w:sdtPr>
          <w:rPr>
            <w:rFonts w:ascii="Calibri" w:eastAsia="Times New Roman" w:hAnsi="Calibri" w:cs="Calibri"/>
            <w:kern w:val="0"/>
            <w:lang w:eastAsia="en-KE"/>
            <w14:ligatures w14:val="none"/>
          </w:rPr>
          <w:id w:val="-1249347469"/>
          <w:citation/>
        </w:sdtPr>
        <w:sdtContent>
          <w:r w:rsidR="007252F0" w:rsidRPr="004C1335">
            <w:rPr>
              <w:rFonts w:ascii="Calibri" w:eastAsia="Times New Roman" w:hAnsi="Calibri" w:cs="Calibri"/>
              <w:kern w:val="0"/>
              <w:lang w:eastAsia="en-KE"/>
              <w14:ligatures w14:val="none"/>
            </w:rPr>
            <w:fldChar w:fldCharType="begin"/>
          </w:r>
          <w:r w:rsidR="009149EA" w:rsidRPr="004C1335">
            <w:rPr>
              <w:rFonts w:ascii="Calibri" w:eastAsia="Times New Roman" w:hAnsi="Calibri" w:cs="Calibri"/>
              <w:kern w:val="0"/>
              <w:lang w:val="en-US" w:eastAsia="en-KE"/>
              <w14:ligatures w14:val="none"/>
            </w:rPr>
            <w:instrText xml:space="preserve">CITATION Odu25 \l 1033 </w:instrText>
          </w:r>
          <w:r w:rsidR="007252F0" w:rsidRPr="004C1335">
            <w:rPr>
              <w:rFonts w:ascii="Calibri" w:eastAsia="Times New Roman" w:hAnsi="Calibri" w:cs="Calibri"/>
              <w:kern w:val="0"/>
              <w:lang w:eastAsia="en-KE"/>
              <w14:ligatures w14:val="none"/>
            </w:rPr>
            <w:fldChar w:fldCharType="separate"/>
          </w:r>
          <w:r w:rsidR="009149EA" w:rsidRPr="004C1335">
            <w:rPr>
              <w:rFonts w:ascii="Calibri" w:eastAsia="Times New Roman" w:hAnsi="Calibri" w:cs="Calibri"/>
              <w:noProof/>
              <w:kern w:val="0"/>
              <w:lang w:val="en-US" w:eastAsia="en-KE"/>
              <w14:ligatures w14:val="none"/>
            </w:rPr>
            <w:t>(Oduri, 2025)</w:t>
          </w:r>
          <w:r w:rsidR="007252F0" w:rsidRPr="004C1335">
            <w:rPr>
              <w:rFonts w:ascii="Calibri" w:eastAsia="Times New Roman" w:hAnsi="Calibri" w:cs="Calibri"/>
              <w:kern w:val="0"/>
              <w:lang w:eastAsia="en-KE"/>
              <w14:ligatures w14:val="none"/>
            </w:rPr>
            <w:fldChar w:fldCharType="end"/>
          </w:r>
        </w:sdtContent>
      </w:sdt>
      <w:r w:rsidR="007252F0"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Key fault-tolerance design practices include:</w:t>
      </w:r>
    </w:p>
    <w:p w14:paraId="4C0998E2" w14:textId="77777777" w:rsidR="00CF4F88" w:rsidRPr="004C1335" w:rsidRDefault="00CF4F88" w:rsidP="008B1EE4">
      <w:pPr>
        <w:numPr>
          <w:ilvl w:val="0"/>
          <w:numId w:val="6"/>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Replication of critical services and data across multiple nodes or clusters.</w:t>
      </w:r>
    </w:p>
    <w:p w14:paraId="273AF9C2" w14:textId="77777777" w:rsidR="00CF4F88" w:rsidRPr="004C1335" w:rsidRDefault="00CF4F88" w:rsidP="008B1EE4">
      <w:pPr>
        <w:numPr>
          <w:ilvl w:val="0"/>
          <w:numId w:val="6"/>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Fail-over mechanisms and automated switching when a failure is detected.</w:t>
      </w:r>
    </w:p>
    <w:p w14:paraId="1C8C5149" w14:textId="77777777" w:rsidR="00CF4F88" w:rsidRPr="004C1335" w:rsidRDefault="00CF4F88" w:rsidP="008B1EE4">
      <w:pPr>
        <w:numPr>
          <w:ilvl w:val="0"/>
          <w:numId w:val="6"/>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Graceful degradation: instead of total failure, the system continues offering limited functionality under degraded mode.</w:t>
      </w:r>
    </w:p>
    <w:p w14:paraId="6DCE7A3D" w14:textId="77777777" w:rsidR="007252F0" w:rsidRPr="004C1335" w:rsidRDefault="00CF4F88" w:rsidP="008B1EE4">
      <w:pPr>
        <w:numPr>
          <w:ilvl w:val="0"/>
          <w:numId w:val="6"/>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Monitoring and fault detection built into service health checks and observability systems.</w:t>
      </w:r>
    </w:p>
    <w:p w14:paraId="4E170DC6" w14:textId="499FDBAC" w:rsidR="00CF4F88" w:rsidRPr="004C1335" w:rsidRDefault="00CF4F88" w:rsidP="007252F0">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In resource-constrained environments common in parts of Africa, architects may prioritise “N+1” or “1+1” redundancy (one backup for each primary component) as part</w:t>
      </w:r>
      <w:r w:rsidR="007252F0"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of</w:t>
      </w:r>
      <w:r w:rsidR="007252F0"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cost-aware fault-tolerant design.</w:t>
      </w:r>
      <w:r w:rsidR="007252F0"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Embedding fault-tolerance in the design phase ensures that component failures</w:t>
      </w:r>
      <w:r w:rsidR="007252F0"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whether due to hardware fault, power outage, or network partition</w:t>
      </w:r>
      <w:r w:rsidR="007252F0"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do not cause a complete system halt. Together with ZTA, fault-tolerant architecture contributes to resilience by enabling continuity and rapid recovery.</w:t>
      </w:r>
    </w:p>
    <w:p w14:paraId="65783DDE" w14:textId="39FD4192" w:rsidR="00CF4F88" w:rsidRPr="00557FBB" w:rsidRDefault="00CF4F88" w:rsidP="00CF4F88">
      <w:pPr>
        <w:spacing w:before="100" w:beforeAutospacing="1" w:after="100" w:afterAutospacing="1" w:line="240" w:lineRule="auto"/>
        <w:jc w:val="both"/>
        <w:rPr>
          <w:rFonts w:ascii="Calibri" w:eastAsia="Times New Roman" w:hAnsi="Calibri" w:cs="Calibri"/>
          <w:kern w:val="0"/>
          <w:lang w:eastAsia="en-KE"/>
          <w14:ligatures w14:val="none"/>
        </w:rPr>
      </w:pPr>
      <w:r w:rsidRPr="00557FBB">
        <w:rPr>
          <w:rFonts w:ascii="Calibri" w:eastAsia="Times New Roman" w:hAnsi="Calibri" w:cs="Calibri"/>
          <w:kern w:val="0"/>
          <w:lang w:eastAsia="en-KE"/>
          <w14:ligatures w14:val="none"/>
        </w:rPr>
        <w:t xml:space="preserve">Multi-Cloud </w:t>
      </w:r>
      <w:r w:rsidR="007252F0" w:rsidRPr="00557FBB">
        <w:rPr>
          <w:rFonts w:ascii="Calibri" w:eastAsia="Times New Roman" w:hAnsi="Calibri" w:cs="Calibri"/>
          <w:kern w:val="0"/>
          <w:lang w:eastAsia="en-KE"/>
          <w14:ligatures w14:val="none"/>
        </w:rPr>
        <w:t>Redundancy Avoiding</w:t>
      </w:r>
      <w:r w:rsidRPr="00557FBB">
        <w:rPr>
          <w:rFonts w:ascii="Calibri" w:eastAsia="Times New Roman" w:hAnsi="Calibri" w:cs="Calibri"/>
          <w:kern w:val="0"/>
          <w:lang w:eastAsia="en-KE"/>
          <w14:ligatures w14:val="none"/>
        </w:rPr>
        <w:t xml:space="preserve"> Single Points of Failure</w:t>
      </w:r>
    </w:p>
    <w:p w14:paraId="4A434FDD" w14:textId="1B5A97BB" w:rsidR="00CF4F88" w:rsidRPr="004C1335" w:rsidRDefault="00CF4F88" w:rsidP="00CF4F88">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Modern data systems increasingly rely on cloud-based services. </w:t>
      </w:r>
      <w:r w:rsidR="001C7F41" w:rsidRPr="004C1335">
        <w:rPr>
          <w:rFonts w:ascii="Calibri" w:eastAsia="Times New Roman" w:hAnsi="Calibri" w:cs="Calibri"/>
          <w:kern w:val="0"/>
          <w:lang w:eastAsia="en-KE"/>
          <w14:ligatures w14:val="none"/>
        </w:rPr>
        <w:t>However,</w:t>
      </w:r>
      <w:r w:rsidRPr="004C1335">
        <w:rPr>
          <w:rFonts w:ascii="Calibri" w:eastAsia="Times New Roman" w:hAnsi="Calibri" w:cs="Calibri"/>
          <w:kern w:val="0"/>
          <w:lang w:eastAsia="en-KE"/>
          <w14:ligatures w14:val="none"/>
        </w:rPr>
        <w:t xml:space="preserve"> reliance on a single cloud provider or region creates a systemic risk: if that provider has a major outage, the dependent services may fail. Multi-cloud redundancy mitigates that risk by deploying services across multiple cloud providers or multiple geographic regions. For example, one fault-tolerance study of MapReduce across multiple clouds concluded that</w:t>
      </w:r>
      <w:r w:rsidR="00D0028B" w:rsidRPr="004C1335">
        <w:rPr>
          <w:rFonts w:ascii="Calibri" w:eastAsia="Times New Roman" w:hAnsi="Calibri" w:cs="Calibri"/>
          <w:kern w:val="0"/>
          <w:lang w:eastAsia="en-KE"/>
          <w14:ligatures w14:val="none"/>
        </w:rPr>
        <w:t>, “</w:t>
      </w:r>
      <w:r w:rsidRPr="004C1335">
        <w:rPr>
          <w:rFonts w:ascii="Calibri" w:eastAsia="Times New Roman" w:hAnsi="Calibri" w:cs="Calibri"/>
          <w:kern w:val="0"/>
          <w:lang w:eastAsia="en-KE"/>
          <w14:ligatures w14:val="none"/>
        </w:rPr>
        <w:t xml:space="preserve">the ability to deal with the new types of faults introduced by such setting, such as the outage of a whole </w:t>
      </w:r>
      <w:r w:rsidR="009149EA" w:rsidRPr="004C1335">
        <w:rPr>
          <w:rFonts w:ascii="Calibri" w:eastAsia="Times New Roman" w:hAnsi="Calibri" w:cs="Calibri"/>
          <w:kern w:val="0"/>
          <w:lang w:eastAsia="en-KE"/>
          <w14:ligatures w14:val="none"/>
        </w:rPr>
        <w:t xml:space="preserve">datacentre </w:t>
      </w:r>
      <w:r w:rsidRPr="004C1335">
        <w:rPr>
          <w:rFonts w:ascii="Calibri" w:eastAsia="Times New Roman" w:hAnsi="Calibri" w:cs="Calibri"/>
          <w:kern w:val="0"/>
          <w:lang w:eastAsia="en-KE"/>
          <w14:ligatures w14:val="none"/>
        </w:rPr>
        <w:t>increases the endeavour considerably.”</w:t>
      </w:r>
      <w:sdt>
        <w:sdtPr>
          <w:rPr>
            <w:rFonts w:ascii="Calibri" w:eastAsia="Times New Roman" w:hAnsi="Calibri" w:cs="Calibri"/>
            <w:kern w:val="0"/>
            <w:lang w:eastAsia="en-KE"/>
            <w14:ligatures w14:val="none"/>
          </w:rPr>
          <w:id w:val="-70819936"/>
          <w:citation/>
        </w:sdtPr>
        <w:sdtContent>
          <w:r w:rsidR="009149EA" w:rsidRPr="004C1335">
            <w:rPr>
              <w:rFonts w:ascii="Calibri" w:eastAsia="Times New Roman" w:hAnsi="Calibri" w:cs="Calibri"/>
              <w:kern w:val="0"/>
              <w:lang w:eastAsia="en-KE"/>
              <w14:ligatures w14:val="none"/>
            </w:rPr>
            <w:fldChar w:fldCharType="begin"/>
          </w:r>
          <w:r w:rsidR="009149EA" w:rsidRPr="004C1335">
            <w:rPr>
              <w:rFonts w:ascii="Calibri" w:eastAsia="Times New Roman" w:hAnsi="Calibri" w:cs="Calibri"/>
              <w:kern w:val="0"/>
              <w:lang w:val="en-US" w:eastAsia="en-KE"/>
              <w14:ligatures w14:val="none"/>
            </w:rPr>
            <w:instrText xml:space="preserve"> CITATION Cos15 \l 1033 </w:instrText>
          </w:r>
          <w:r w:rsidR="009149EA" w:rsidRPr="004C1335">
            <w:rPr>
              <w:rFonts w:ascii="Calibri" w:eastAsia="Times New Roman" w:hAnsi="Calibri" w:cs="Calibri"/>
              <w:kern w:val="0"/>
              <w:lang w:eastAsia="en-KE"/>
              <w14:ligatures w14:val="none"/>
            </w:rPr>
            <w:fldChar w:fldCharType="separate"/>
          </w:r>
          <w:r w:rsidR="009149EA" w:rsidRPr="004C1335">
            <w:rPr>
              <w:rFonts w:ascii="Calibri" w:eastAsia="Times New Roman" w:hAnsi="Calibri" w:cs="Calibri"/>
              <w:noProof/>
              <w:kern w:val="0"/>
              <w:lang w:val="en-US" w:eastAsia="en-KE"/>
              <w14:ligatures w14:val="none"/>
            </w:rPr>
            <w:t xml:space="preserve"> (Costa, 2015)</w:t>
          </w:r>
          <w:r w:rsidR="009149EA" w:rsidRPr="004C1335">
            <w:rPr>
              <w:rFonts w:ascii="Calibri" w:eastAsia="Times New Roman" w:hAnsi="Calibri" w:cs="Calibri"/>
              <w:kern w:val="0"/>
              <w:lang w:eastAsia="en-KE"/>
              <w14:ligatures w14:val="none"/>
            </w:rPr>
            <w:fldChar w:fldCharType="end"/>
          </w:r>
        </w:sdtContent>
      </w:sdt>
      <w:r w:rsidR="006F12D8" w:rsidRPr="004C1335">
        <w:rPr>
          <w:rFonts w:ascii="Calibri" w:eastAsia="Times New Roman" w:hAnsi="Calibri" w:cs="Calibri"/>
          <w:kern w:val="0"/>
          <w:lang w:eastAsia="en-KE"/>
          <w14:ligatures w14:val="none"/>
        </w:rPr>
        <w:t>.</w:t>
      </w:r>
      <w:r w:rsidR="009149EA"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Architectural design for multi-cloud redundancy includes:</w:t>
      </w:r>
    </w:p>
    <w:p w14:paraId="135B9B05" w14:textId="77777777" w:rsidR="00CF4F88" w:rsidRPr="004C1335" w:rsidRDefault="00CF4F88" w:rsidP="008B1EE4">
      <w:pPr>
        <w:numPr>
          <w:ilvl w:val="0"/>
          <w:numId w:val="7"/>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Placement of workloads in more than one availability zone or cloud vendor region.</w:t>
      </w:r>
    </w:p>
    <w:p w14:paraId="3C56B81A" w14:textId="77777777" w:rsidR="00CF4F88" w:rsidRPr="004C1335" w:rsidRDefault="00CF4F88" w:rsidP="008B1EE4">
      <w:pPr>
        <w:numPr>
          <w:ilvl w:val="0"/>
          <w:numId w:val="7"/>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Use of data replication and real-time synchronisation across clouds.</w:t>
      </w:r>
    </w:p>
    <w:p w14:paraId="65E19A81" w14:textId="77777777" w:rsidR="00CF4F88" w:rsidRPr="004C1335" w:rsidRDefault="00CF4F88" w:rsidP="008B1EE4">
      <w:pPr>
        <w:numPr>
          <w:ilvl w:val="0"/>
          <w:numId w:val="7"/>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Load-balancing and fail-over logic that seamlessly shifts workload when one site fails.</w:t>
      </w:r>
    </w:p>
    <w:p w14:paraId="601BCEDC" w14:textId="77777777" w:rsidR="007A7262" w:rsidRDefault="00CF4F88" w:rsidP="008B1EE4">
      <w:pPr>
        <w:numPr>
          <w:ilvl w:val="0"/>
          <w:numId w:val="7"/>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Avoidance of vendor lock-in to ensure portability and recovery flexibility. </w:t>
      </w:r>
      <w:r w:rsidRPr="004C1335">
        <w:rPr>
          <w:rFonts w:ascii="Calibri" w:eastAsia="Times New Roman" w:hAnsi="Calibri" w:cs="Calibri"/>
          <w:kern w:val="0"/>
          <w:lang w:eastAsia="en-KE"/>
          <w14:ligatures w14:val="none"/>
        </w:rPr>
        <w:br/>
        <w:t>In the African context where major cloud provider outages or connectivity issues (for example due to regional infrastructure or power instability) may be more probable, multi-cloud design becomes a critical resilience strategy</w:t>
      </w:r>
      <w:r w:rsidR="007A7262">
        <w:rPr>
          <w:rFonts w:ascii="Calibri" w:eastAsia="Times New Roman" w:hAnsi="Calibri" w:cs="Calibri"/>
          <w:kern w:val="0"/>
          <w:lang w:eastAsia="en-KE"/>
          <w14:ligatures w14:val="none"/>
        </w:rPr>
        <w:t>.</w:t>
      </w:r>
    </w:p>
    <w:p w14:paraId="1AF137A2" w14:textId="4E8F0767" w:rsidR="00CF4F88" w:rsidRPr="004C1335" w:rsidRDefault="00CF4F88" w:rsidP="005655F8">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The architecture must account for heterogeneous connectivity, varying regional regulations, and differences in latency and cost. By designing multi-cloud redundancy from the outset, organisations reduce risk of catastrophic single-provider failure and enable cross-region recovery.</w:t>
      </w:r>
    </w:p>
    <w:p w14:paraId="32F0037D" w14:textId="618D3763" w:rsidR="00CF4F88" w:rsidRPr="00557FBB" w:rsidRDefault="00CF4F88" w:rsidP="00CF4F88">
      <w:pPr>
        <w:spacing w:before="100" w:beforeAutospacing="1" w:after="100" w:afterAutospacing="1" w:line="240" w:lineRule="auto"/>
        <w:jc w:val="both"/>
        <w:rPr>
          <w:rFonts w:ascii="Calibri" w:eastAsia="Times New Roman" w:hAnsi="Calibri" w:cs="Calibri"/>
          <w:kern w:val="0"/>
          <w:lang w:eastAsia="en-KE"/>
          <w14:ligatures w14:val="none"/>
        </w:rPr>
      </w:pPr>
      <w:r w:rsidRPr="00557FBB">
        <w:rPr>
          <w:rFonts w:ascii="Calibri" w:eastAsia="Times New Roman" w:hAnsi="Calibri" w:cs="Calibri"/>
          <w:kern w:val="0"/>
          <w:lang w:eastAsia="en-KE"/>
          <w14:ligatures w14:val="none"/>
        </w:rPr>
        <w:t>Immutable Data Stores</w:t>
      </w:r>
      <w:r w:rsidR="00C370D9" w:rsidRPr="00557FBB">
        <w:rPr>
          <w:rFonts w:ascii="Calibri" w:eastAsia="Times New Roman" w:hAnsi="Calibri" w:cs="Calibri"/>
          <w:kern w:val="0"/>
          <w:lang w:eastAsia="en-KE"/>
          <w14:ligatures w14:val="none"/>
        </w:rPr>
        <w:t xml:space="preserve"> - </w:t>
      </w:r>
      <w:r w:rsidRPr="00557FBB">
        <w:rPr>
          <w:rFonts w:ascii="Calibri" w:eastAsia="Times New Roman" w:hAnsi="Calibri" w:cs="Calibri"/>
          <w:kern w:val="0"/>
          <w:lang w:eastAsia="en-KE"/>
          <w14:ligatures w14:val="none"/>
        </w:rPr>
        <w:t>Ensuring Integrity and Auditability</w:t>
      </w:r>
    </w:p>
    <w:p w14:paraId="14035D2A" w14:textId="47EC8D51" w:rsidR="00CF4F88" w:rsidRPr="004C1335" w:rsidRDefault="00CF4F88" w:rsidP="00CF4F88">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Immutable data stores (or write-once/read-many (WORM) storage) are architectural patterns in which once data is written it cannot be altered, only appended or replaced by new versions. This supports data integrity, auditability and rollback to earlier known-good states when incidents happen. A system design summary indicates</w:t>
      </w:r>
      <w:r w:rsidR="00F02227"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“Existing data or objects are never changed</w:t>
      </w:r>
      <w:r w:rsidR="00461CBC"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instead new versions of data or objects are created</w:t>
      </w:r>
      <w:r w:rsidR="00461CBC"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This principle of immutability ensures that the system maintains a consistent and traceable history of states, improving fault tolerance and reliability”</w:t>
      </w:r>
      <w:sdt>
        <w:sdtPr>
          <w:rPr>
            <w:rFonts w:ascii="Calibri" w:eastAsia="Times New Roman" w:hAnsi="Calibri" w:cs="Calibri"/>
            <w:kern w:val="0"/>
            <w:lang w:eastAsia="en-KE"/>
            <w14:ligatures w14:val="none"/>
          </w:rPr>
          <w:id w:val="-1779944826"/>
          <w:citation/>
        </w:sdtPr>
        <w:sdtContent>
          <w:r w:rsidR="008F0A4A" w:rsidRPr="004C1335">
            <w:rPr>
              <w:rFonts w:ascii="Calibri" w:eastAsia="Times New Roman" w:hAnsi="Calibri" w:cs="Calibri"/>
              <w:kern w:val="0"/>
              <w:lang w:eastAsia="en-KE"/>
              <w14:ligatures w14:val="none"/>
            </w:rPr>
            <w:fldChar w:fldCharType="begin"/>
          </w:r>
          <w:r w:rsidR="008F0A4A" w:rsidRPr="004C1335">
            <w:rPr>
              <w:rFonts w:ascii="Calibri" w:eastAsia="Times New Roman" w:hAnsi="Calibri" w:cs="Calibri"/>
              <w:kern w:val="0"/>
              <w:lang w:val="en-US" w:eastAsia="en-KE"/>
              <w14:ligatures w14:val="none"/>
            </w:rPr>
            <w:instrText xml:space="preserve"> CITATION Gee25 \l 1033 </w:instrText>
          </w:r>
          <w:r w:rsidR="008F0A4A" w:rsidRPr="004C1335">
            <w:rPr>
              <w:rFonts w:ascii="Calibri" w:eastAsia="Times New Roman" w:hAnsi="Calibri" w:cs="Calibri"/>
              <w:kern w:val="0"/>
              <w:lang w:eastAsia="en-KE"/>
              <w14:ligatures w14:val="none"/>
            </w:rPr>
            <w:fldChar w:fldCharType="separate"/>
          </w:r>
          <w:r w:rsidR="008F0A4A" w:rsidRPr="004C1335">
            <w:rPr>
              <w:rFonts w:ascii="Calibri" w:eastAsia="Times New Roman" w:hAnsi="Calibri" w:cs="Calibri"/>
              <w:noProof/>
              <w:kern w:val="0"/>
              <w:lang w:val="en-US" w:eastAsia="en-KE"/>
              <w14:ligatures w14:val="none"/>
            </w:rPr>
            <w:t xml:space="preserve"> (GeeksforGeeks, 2025)</w:t>
          </w:r>
          <w:r w:rsidR="008F0A4A" w:rsidRPr="004C1335">
            <w:rPr>
              <w:rFonts w:ascii="Calibri" w:eastAsia="Times New Roman" w:hAnsi="Calibri" w:cs="Calibri"/>
              <w:kern w:val="0"/>
              <w:lang w:eastAsia="en-KE"/>
              <w14:ligatures w14:val="none"/>
            </w:rPr>
            <w:fldChar w:fldCharType="end"/>
          </w:r>
        </w:sdtContent>
      </w:sdt>
      <w:r w:rsidR="00461CBC"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Another vendor case-study of immutable architecture notes</w:t>
      </w:r>
      <w:r w:rsidR="000B7867"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“An intrinsically immutable core architecture ensures data is always preserved in its original form once stored, even if an attacker attains the necessary access privileges” </w:t>
      </w:r>
      <w:sdt>
        <w:sdtPr>
          <w:rPr>
            <w:rFonts w:ascii="Calibri" w:eastAsia="Times New Roman" w:hAnsi="Calibri" w:cs="Calibri"/>
            <w:kern w:val="0"/>
            <w:lang w:eastAsia="en-KE"/>
            <w14:ligatures w14:val="none"/>
          </w:rPr>
          <w:id w:val="1365099249"/>
          <w:citation/>
        </w:sdtPr>
        <w:sdtContent>
          <w:r w:rsidR="005729CB" w:rsidRPr="004C1335">
            <w:rPr>
              <w:rFonts w:ascii="Calibri" w:eastAsia="Times New Roman" w:hAnsi="Calibri" w:cs="Calibri"/>
              <w:kern w:val="0"/>
              <w:lang w:eastAsia="en-KE"/>
              <w14:ligatures w14:val="none"/>
            </w:rPr>
            <w:fldChar w:fldCharType="begin"/>
          </w:r>
          <w:r w:rsidR="005729CB" w:rsidRPr="004C1335">
            <w:rPr>
              <w:rFonts w:ascii="Calibri" w:eastAsia="Times New Roman" w:hAnsi="Calibri" w:cs="Calibri"/>
              <w:kern w:val="0"/>
              <w:lang w:val="en-US" w:eastAsia="en-KE"/>
              <w14:ligatures w14:val="none"/>
            </w:rPr>
            <w:instrText xml:space="preserve">CITATION Sca55 \l 1033 </w:instrText>
          </w:r>
          <w:r w:rsidR="005729CB" w:rsidRPr="004C1335">
            <w:rPr>
              <w:rFonts w:ascii="Calibri" w:eastAsia="Times New Roman" w:hAnsi="Calibri" w:cs="Calibri"/>
              <w:kern w:val="0"/>
              <w:lang w:eastAsia="en-KE"/>
              <w14:ligatures w14:val="none"/>
            </w:rPr>
            <w:fldChar w:fldCharType="separate"/>
          </w:r>
          <w:r w:rsidR="005729CB" w:rsidRPr="004C1335">
            <w:rPr>
              <w:rFonts w:ascii="Calibri" w:eastAsia="Times New Roman" w:hAnsi="Calibri" w:cs="Calibri"/>
              <w:noProof/>
              <w:kern w:val="0"/>
              <w:lang w:val="en-US" w:eastAsia="en-KE"/>
              <w14:ligatures w14:val="none"/>
            </w:rPr>
            <w:t>(Scality, 2025)</w:t>
          </w:r>
          <w:r w:rsidR="005729CB" w:rsidRPr="004C1335">
            <w:rPr>
              <w:rFonts w:ascii="Calibri" w:eastAsia="Times New Roman" w:hAnsi="Calibri" w:cs="Calibri"/>
              <w:kern w:val="0"/>
              <w:lang w:eastAsia="en-KE"/>
              <w14:ligatures w14:val="none"/>
            </w:rPr>
            <w:fldChar w:fldCharType="end"/>
          </w:r>
        </w:sdtContent>
      </w:sdt>
      <w:r w:rsidR="005729CB"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Key architectural design elements include:</w:t>
      </w:r>
    </w:p>
    <w:p w14:paraId="6019DC90" w14:textId="77777777" w:rsidR="00CF4F88" w:rsidRPr="004C1335" w:rsidRDefault="00CF4F88" w:rsidP="00F16523">
      <w:pPr>
        <w:numPr>
          <w:ilvl w:val="0"/>
          <w:numId w:val="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Versioning of data and storage objects so that changes do not overwrite previous states.</w:t>
      </w:r>
    </w:p>
    <w:p w14:paraId="5B2F6504" w14:textId="77777777" w:rsidR="00CF4F88" w:rsidRPr="004C1335" w:rsidRDefault="00CF4F88" w:rsidP="00F16523">
      <w:pPr>
        <w:numPr>
          <w:ilvl w:val="0"/>
          <w:numId w:val="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Append-only logs and snapshots used for forensic, audit and recovery purposes.</w:t>
      </w:r>
    </w:p>
    <w:p w14:paraId="44432916" w14:textId="77777777" w:rsidR="00CF4F88" w:rsidRPr="004C1335" w:rsidRDefault="00CF4F88" w:rsidP="00F16523">
      <w:pPr>
        <w:numPr>
          <w:ilvl w:val="0"/>
          <w:numId w:val="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Tamper-evidence and cryptographic hashes for confirming integrity of stored data.</w:t>
      </w:r>
    </w:p>
    <w:p w14:paraId="47218E06" w14:textId="77777777" w:rsidR="00017DFB" w:rsidRPr="004C1335" w:rsidRDefault="00CF4F88" w:rsidP="00F16523">
      <w:pPr>
        <w:numPr>
          <w:ilvl w:val="0"/>
          <w:numId w:val="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Integration with recovery workflows that can revert to known-good mid-states when corruption is detected.</w:t>
      </w:r>
    </w:p>
    <w:p w14:paraId="5F8C1AA4" w14:textId="54035AD1" w:rsidR="00CF4F88" w:rsidRPr="004C1335" w:rsidRDefault="00CF4F88" w:rsidP="00017DFB">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In resilience-by-design terms, immutable data stores allow an architecture to recover from both failure and compromise </w:t>
      </w:r>
      <w:r w:rsidR="003C6849" w:rsidRPr="004C1335">
        <w:rPr>
          <w:rFonts w:ascii="Calibri" w:eastAsia="Times New Roman" w:hAnsi="Calibri" w:cs="Calibri"/>
          <w:kern w:val="0"/>
          <w:lang w:eastAsia="en-KE"/>
          <w14:ligatures w14:val="none"/>
        </w:rPr>
        <w:t>scenarios;</w:t>
      </w:r>
      <w:r w:rsidRPr="004C1335">
        <w:rPr>
          <w:rFonts w:ascii="Calibri" w:eastAsia="Times New Roman" w:hAnsi="Calibri" w:cs="Calibri"/>
          <w:kern w:val="0"/>
          <w:lang w:eastAsia="en-KE"/>
          <w14:ligatures w14:val="none"/>
        </w:rPr>
        <w:t xml:space="preserve"> by maintaining a traceable history and undistorted base state, the system can restore integrity and continuity more confidently.</w:t>
      </w:r>
    </w:p>
    <w:p w14:paraId="1CE6E3C4" w14:textId="0A419B7D" w:rsidR="00CF4F88" w:rsidRPr="00906A4B" w:rsidRDefault="00CF4F88" w:rsidP="00906A4B">
      <w:pPr>
        <w:pStyle w:val="Heading2"/>
        <w:jc w:val="center"/>
        <w:rPr>
          <w:rFonts w:eastAsia="Times New Roman"/>
          <w:sz w:val="28"/>
          <w:szCs w:val="28"/>
          <w:lang w:eastAsia="en-KE"/>
        </w:rPr>
      </w:pPr>
      <w:bookmarkStart w:id="11" w:name="_Toc213772613"/>
      <w:r w:rsidRPr="00906A4B">
        <w:rPr>
          <w:rFonts w:eastAsia="Times New Roman"/>
          <w:sz w:val="28"/>
          <w:szCs w:val="28"/>
          <w:lang w:eastAsia="en-KE"/>
        </w:rPr>
        <w:t>Embed Resilience at the Design Stage</w:t>
      </w:r>
      <w:bookmarkEnd w:id="11"/>
    </w:p>
    <w:p w14:paraId="60BC960A" w14:textId="77777777" w:rsidR="00CF4F88" w:rsidRPr="004C1335" w:rsidRDefault="00CF4F88" w:rsidP="00CF4F88">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design-level integration of the four prior elements ensures that resilience is not treated as an after-the-fact add-on but as a core part of system architecture. The objective is to shift from “secure systems” to “resilient systems” in the sense that:</w:t>
      </w:r>
    </w:p>
    <w:p w14:paraId="3DD4F48B" w14:textId="77777777" w:rsidR="00CF4F88" w:rsidRPr="004C1335" w:rsidRDefault="00CF4F88" w:rsidP="00F16523">
      <w:pPr>
        <w:numPr>
          <w:ilvl w:val="0"/>
          <w:numId w:val="9"/>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Systems anticipate failure and treat failure as a design input rather than an exception.</w:t>
      </w:r>
    </w:p>
    <w:p w14:paraId="2DB65C74" w14:textId="77777777" w:rsidR="00CF4F88" w:rsidRPr="004C1335" w:rsidRDefault="00CF4F88" w:rsidP="00F16523">
      <w:pPr>
        <w:numPr>
          <w:ilvl w:val="0"/>
          <w:numId w:val="9"/>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Redundancy, fault-tolerance, integrity and trust-minimisation are built into the architecture.</w:t>
      </w:r>
    </w:p>
    <w:p w14:paraId="48058D74" w14:textId="77777777" w:rsidR="00CF4F88" w:rsidRDefault="00CF4F88" w:rsidP="00F16523">
      <w:pPr>
        <w:numPr>
          <w:ilvl w:val="0"/>
          <w:numId w:val="9"/>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architecture supports rapid recovery, auditability and maintainability.</w:t>
      </w:r>
    </w:p>
    <w:p w14:paraId="23A8BFA1" w14:textId="77777777" w:rsidR="00FD145B" w:rsidRPr="004C1335" w:rsidRDefault="00FD145B" w:rsidP="00FD145B">
      <w:pPr>
        <w:spacing w:before="100" w:beforeAutospacing="1" w:after="100" w:afterAutospacing="1" w:line="240" w:lineRule="auto"/>
        <w:jc w:val="both"/>
        <w:rPr>
          <w:rFonts w:ascii="Calibri" w:eastAsia="Times New Roman" w:hAnsi="Calibri" w:cs="Calibri"/>
          <w:kern w:val="0"/>
          <w:lang w:eastAsia="en-KE"/>
          <w14:ligatures w14:val="none"/>
        </w:rPr>
      </w:pPr>
    </w:p>
    <w:p w14:paraId="58180AA9" w14:textId="77777777" w:rsidR="00FD145B" w:rsidRDefault="00CF4F88" w:rsidP="00FD145B">
      <w:pPr>
        <w:numPr>
          <w:ilvl w:val="0"/>
          <w:numId w:val="9"/>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Design documentation, procurement specifications and vendor evaluation criteria include resilience requirements (for example: “system must fail-over in less than X seconds”, “data must be recoverable from a separate provider region within Y minutes”, “no component shall represent a single point of failure”).</w:t>
      </w:r>
    </w:p>
    <w:p w14:paraId="181087A4" w14:textId="25696A19" w:rsidR="00CF4F88" w:rsidRPr="00FD145B" w:rsidRDefault="00CF4F88" w:rsidP="00FD145B">
      <w:pPr>
        <w:spacing w:before="100" w:beforeAutospacing="1" w:after="100" w:afterAutospacing="1" w:line="240" w:lineRule="auto"/>
        <w:jc w:val="both"/>
        <w:rPr>
          <w:rFonts w:ascii="Calibri" w:eastAsia="Times New Roman" w:hAnsi="Calibri" w:cs="Calibri"/>
          <w:kern w:val="0"/>
          <w:lang w:eastAsia="en-KE"/>
          <w14:ligatures w14:val="none"/>
        </w:rPr>
      </w:pPr>
      <w:r w:rsidRPr="00FD145B">
        <w:rPr>
          <w:rFonts w:ascii="Calibri" w:eastAsia="Times New Roman" w:hAnsi="Calibri" w:cs="Calibri"/>
          <w:kern w:val="0"/>
          <w:lang w:eastAsia="en-KE"/>
          <w14:ligatures w14:val="none"/>
        </w:rPr>
        <w:t>From an Africa-centric perspective, this design orientation also accommodates environments characterised by power instability, connectivity variability, heterogeneous vendor ecosystems and regional regulatory complexity. Embedding resilience thus becomes a strategic enabler of business continuity, regulatory trust and digital sovereignty.</w:t>
      </w:r>
    </w:p>
    <w:p w14:paraId="01C84577" w14:textId="7BDB6018" w:rsidR="00633AF6" w:rsidRPr="007765AE" w:rsidRDefault="00CF4F88" w:rsidP="00FD145B">
      <w:pPr>
        <w:spacing w:before="100" w:beforeAutospacing="1" w:after="0" w:line="240" w:lineRule="auto"/>
        <w:jc w:val="center"/>
        <w:rPr>
          <w:rFonts w:ascii="Calibri" w:eastAsia="Times New Roman" w:hAnsi="Calibri" w:cs="Calibri"/>
          <w:i/>
          <w:iCs/>
          <w:kern w:val="0"/>
          <w:lang w:eastAsia="en-KE"/>
          <w14:ligatures w14:val="none"/>
        </w:rPr>
      </w:pPr>
      <w:r w:rsidRPr="007765AE">
        <w:rPr>
          <w:rFonts w:ascii="Calibri" w:eastAsia="Times New Roman" w:hAnsi="Calibri" w:cs="Calibri"/>
          <w:i/>
          <w:iCs/>
          <w:kern w:val="0"/>
          <w:lang w:eastAsia="en-KE"/>
          <w14:ligatures w14:val="none"/>
        </w:rPr>
        <w:t>Illustration of Resilience Layers</w:t>
      </w:r>
    </w:p>
    <w:p w14:paraId="062CE88E" w14:textId="6CA0286E" w:rsidR="00E3333B" w:rsidRDefault="00E3333B" w:rsidP="00CF4F88">
      <w:pPr>
        <w:spacing w:before="100" w:beforeAutospacing="1" w:after="100" w:afterAutospacing="1" w:line="240" w:lineRule="auto"/>
        <w:jc w:val="both"/>
        <w:rPr>
          <w:rFonts w:ascii="Calibri" w:eastAsia="Times New Roman" w:hAnsi="Calibri" w:cs="Calibri"/>
          <w:b/>
          <w:bCs/>
          <w:kern w:val="0"/>
          <w:lang w:eastAsia="en-KE"/>
          <w14:ligatures w14:val="none"/>
        </w:rPr>
      </w:pPr>
      <w:r w:rsidRPr="00E3333B">
        <w:rPr>
          <w:rFonts w:ascii="Calibri" w:eastAsia="Times New Roman" w:hAnsi="Calibri" w:cs="Calibri"/>
          <w:b/>
          <w:bCs/>
          <w:kern w:val="0"/>
          <w:lang w:eastAsia="en-KE"/>
          <w14:ligatures w14:val="none"/>
        </w:rPr>
        <w:drawing>
          <wp:inline distT="0" distB="0" distL="0" distR="0" wp14:anchorId="573BEAE9" wp14:editId="04F86F6B">
            <wp:extent cx="5292000" cy="2676259"/>
            <wp:effectExtent l="0" t="0" r="4445" b="0"/>
            <wp:docPr id="487991511"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991511" name="Picture 1" descr="A diagram of a company&#10;&#10;AI-generated content may be incorrect."/>
                    <pic:cNvPicPr/>
                  </pic:nvPicPr>
                  <pic:blipFill>
                    <a:blip r:embed="rId14"/>
                    <a:stretch>
                      <a:fillRect/>
                    </a:stretch>
                  </pic:blipFill>
                  <pic:spPr>
                    <a:xfrm>
                      <a:off x="0" y="0"/>
                      <a:ext cx="5292000" cy="2676259"/>
                    </a:xfrm>
                    <a:prstGeom prst="rect">
                      <a:avLst/>
                    </a:prstGeom>
                  </pic:spPr>
                </pic:pic>
              </a:graphicData>
            </a:graphic>
          </wp:inline>
        </w:drawing>
      </w:r>
    </w:p>
    <w:p w14:paraId="1301E229" w14:textId="0D35FAE0" w:rsidR="00F16523" w:rsidRPr="00757241" w:rsidRDefault="00CF4F88" w:rsidP="00757241">
      <w:pPr>
        <w:spacing w:before="100" w:beforeAutospacing="1" w:after="100" w:afterAutospacing="1" w:line="240" w:lineRule="auto"/>
        <w:jc w:val="both"/>
        <w:rPr>
          <w:rFonts w:ascii="Calibri" w:eastAsia="Times New Roman" w:hAnsi="Calibri" w:cs="Calibri"/>
          <w:b/>
          <w:bCs/>
          <w:kern w:val="0"/>
          <w:lang w:eastAsia="en-KE"/>
          <w14:ligatures w14:val="none"/>
        </w:rPr>
      </w:pPr>
      <w:r w:rsidRPr="004C1335">
        <w:rPr>
          <w:rFonts w:ascii="Calibri" w:eastAsia="Times New Roman" w:hAnsi="Calibri" w:cs="Calibri"/>
          <w:kern w:val="0"/>
          <w:lang w:eastAsia="en-KE"/>
          <w14:ligatures w14:val="none"/>
        </w:rPr>
        <w:t>In summary, design-level resilience requires a proactive architectural orientation. By integrating zero-trust, fault tolerance, multi-cloud redundancy and immutability, systems are better prepared to withstand and recover from disruptions. For African data systems in particular, designing at the outset for resilience addresses infrastructure fragility, regulatory uncertainty and cross-jurisdictional complexity. The following section will shift from design to operational-level resilience, where we focus on measurable metrics, testing regimes and operational validation of resilience in practice.</w:t>
      </w:r>
      <w:bookmarkStart w:id="12" w:name="_Toc213772614"/>
    </w:p>
    <w:p w14:paraId="0DDA415D" w14:textId="163F3C88" w:rsidR="00E67609" w:rsidRPr="005E08B1" w:rsidRDefault="00E67609" w:rsidP="005E08B1">
      <w:pPr>
        <w:pStyle w:val="Heading1"/>
        <w:jc w:val="center"/>
        <w:rPr>
          <w:rFonts w:eastAsia="Times New Roman"/>
          <w:sz w:val="32"/>
          <w:szCs w:val="32"/>
          <w:lang w:eastAsia="en-KE"/>
        </w:rPr>
      </w:pPr>
      <w:r w:rsidRPr="005E08B1">
        <w:rPr>
          <w:rFonts w:eastAsia="Times New Roman"/>
          <w:sz w:val="32"/>
          <w:szCs w:val="32"/>
          <w:lang w:eastAsia="en-KE"/>
        </w:rPr>
        <w:t>Operational-Level Resilience</w:t>
      </w:r>
      <w:bookmarkEnd w:id="12"/>
    </w:p>
    <w:p w14:paraId="090A455C" w14:textId="77777777" w:rsidR="00E67609" w:rsidRPr="004C133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At the operational level, resilience is realised through metrics that quantify performance under stress, testing mechanisms that validate system behaviour under disruption, and advanced automation and AI tools that accelerate detection and recovery. Embedding resilience at this level transforms architectural promises into measurable, observable, and governable outcomes.</w:t>
      </w:r>
    </w:p>
    <w:p w14:paraId="6A139337" w14:textId="454638BE" w:rsidR="00E67609" w:rsidRPr="00762873" w:rsidRDefault="00E67609" w:rsidP="00762873">
      <w:pPr>
        <w:pStyle w:val="Heading2"/>
        <w:jc w:val="center"/>
        <w:rPr>
          <w:rFonts w:eastAsia="Times New Roman"/>
          <w:sz w:val="28"/>
          <w:szCs w:val="28"/>
          <w:lang w:eastAsia="en-KE"/>
        </w:rPr>
      </w:pPr>
      <w:bookmarkStart w:id="13" w:name="_Toc213772615"/>
      <w:r w:rsidRPr="00762873">
        <w:rPr>
          <w:rFonts w:eastAsia="Times New Roman"/>
          <w:sz w:val="28"/>
          <w:szCs w:val="28"/>
          <w:lang w:eastAsia="en-KE"/>
        </w:rPr>
        <w:lastRenderedPageBreak/>
        <w:t>Resilience Metrics</w:t>
      </w:r>
      <w:bookmarkEnd w:id="13"/>
    </w:p>
    <w:p w14:paraId="0C03990C" w14:textId="77777777" w:rsidR="00E67609" w:rsidRPr="0020127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201275">
        <w:rPr>
          <w:rFonts w:ascii="Calibri" w:eastAsia="Times New Roman" w:hAnsi="Calibri" w:cs="Calibri"/>
          <w:kern w:val="0"/>
          <w:lang w:eastAsia="en-KE"/>
          <w14:ligatures w14:val="none"/>
        </w:rPr>
        <w:t>Mean Time to Recover (MTTR)</w:t>
      </w:r>
    </w:p>
    <w:p w14:paraId="5626EF7D" w14:textId="3EEE5EA3" w:rsidR="00E67609" w:rsidRPr="004C133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One of the most widely adopted metrics for system resilience is MTTR. According to IBM</w:t>
      </w:r>
      <w:r w:rsidR="009661A2"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“Mean time to repair (MTTR), sometimes referred to as mean time to recovery, is a metric that is used to measure the average time it takes to repair a system or piece of equipment after it has</w:t>
      </w:r>
      <w:r w:rsidR="00C077C8"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failed”</w:t>
      </w:r>
      <w:r w:rsidR="00DE19F3" w:rsidRPr="004C1335">
        <w:rPr>
          <w:rFonts w:ascii="Calibri" w:eastAsia="Times New Roman" w:hAnsi="Calibri" w:cs="Calibri"/>
          <w:kern w:val="0"/>
          <w:lang w:eastAsia="en-KE"/>
          <w14:ligatures w14:val="none"/>
        </w:rPr>
        <w:t xml:space="preserve"> </w:t>
      </w:r>
      <w:sdt>
        <w:sdtPr>
          <w:rPr>
            <w:rFonts w:ascii="Calibri" w:eastAsia="Times New Roman" w:hAnsi="Calibri" w:cs="Calibri"/>
            <w:kern w:val="0"/>
            <w:lang w:eastAsia="en-KE"/>
            <w14:ligatures w14:val="none"/>
          </w:rPr>
          <w:id w:val="2140690046"/>
          <w:citation/>
        </w:sdtPr>
        <w:sdtContent>
          <w:r w:rsidR="00E60614" w:rsidRPr="004C1335">
            <w:rPr>
              <w:rFonts w:ascii="Calibri" w:eastAsia="Times New Roman" w:hAnsi="Calibri" w:cs="Calibri"/>
              <w:kern w:val="0"/>
              <w:lang w:eastAsia="en-KE"/>
              <w14:ligatures w14:val="none"/>
            </w:rPr>
            <w:fldChar w:fldCharType="begin"/>
          </w:r>
          <w:r w:rsidR="00E60614" w:rsidRPr="004C1335">
            <w:rPr>
              <w:rFonts w:ascii="Calibri" w:eastAsia="Times New Roman" w:hAnsi="Calibri" w:cs="Calibri"/>
              <w:kern w:val="0"/>
              <w:lang w:val="en-US" w:eastAsia="en-KE"/>
              <w14:ligatures w14:val="none"/>
            </w:rPr>
            <w:instrText xml:space="preserve"> CITATION IBM23 \l 1033 </w:instrText>
          </w:r>
          <w:r w:rsidR="00E60614" w:rsidRPr="004C1335">
            <w:rPr>
              <w:rFonts w:ascii="Calibri" w:eastAsia="Times New Roman" w:hAnsi="Calibri" w:cs="Calibri"/>
              <w:kern w:val="0"/>
              <w:lang w:eastAsia="en-KE"/>
              <w14:ligatures w14:val="none"/>
            </w:rPr>
            <w:fldChar w:fldCharType="separate"/>
          </w:r>
          <w:r w:rsidR="00E60614" w:rsidRPr="004C1335">
            <w:rPr>
              <w:rFonts w:ascii="Calibri" w:eastAsia="Times New Roman" w:hAnsi="Calibri" w:cs="Calibri"/>
              <w:noProof/>
              <w:kern w:val="0"/>
              <w:lang w:val="en-US" w:eastAsia="en-KE"/>
              <w14:ligatures w14:val="none"/>
            </w:rPr>
            <w:t>(IBM, 2023)</w:t>
          </w:r>
          <w:r w:rsidR="00E60614" w:rsidRPr="004C1335">
            <w:rPr>
              <w:rFonts w:ascii="Calibri" w:eastAsia="Times New Roman" w:hAnsi="Calibri" w:cs="Calibri"/>
              <w:kern w:val="0"/>
              <w:lang w:eastAsia="en-KE"/>
              <w14:ligatures w14:val="none"/>
            </w:rPr>
            <w:fldChar w:fldCharType="end"/>
          </w:r>
        </w:sdtContent>
      </w:sdt>
      <w:r w:rsidR="00E60614"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Another practical guide states</w:t>
      </w:r>
      <w:r w:rsidR="00E60614"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“Mean Time to Recovery measures the average duration between the moment a system failure is detected and the point at which the affected service is fully restored to operational status.” </w:t>
      </w:r>
      <w:sdt>
        <w:sdtPr>
          <w:rPr>
            <w:rFonts w:ascii="Calibri" w:eastAsia="Times New Roman" w:hAnsi="Calibri" w:cs="Calibri"/>
            <w:kern w:val="0"/>
            <w:lang w:eastAsia="en-KE"/>
            <w14:ligatures w14:val="none"/>
          </w:rPr>
          <w:id w:val="-405063164"/>
          <w:citation/>
        </w:sdtPr>
        <w:sdtContent>
          <w:r w:rsidR="00B27DDB" w:rsidRPr="004C1335">
            <w:rPr>
              <w:rFonts w:ascii="Calibri" w:eastAsia="Times New Roman" w:hAnsi="Calibri" w:cs="Calibri"/>
              <w:kern w:val="0"/>
              <w:lang w:eastAsia="en-KE"/>
              <w14:ligatures w14:val="none"/>
            </w:rPr>
            <w:fldChar w:fldCharType="begin"/>
          </w:r>
          <w:r w:rsidR="00B27DDB" w:rsidRPr="004C1335">
            <w:rPr>
              <w:rFonts w:ascii="Calibri" w:eastAsia="Times New Roman" w:hAnsi="Calibri" w:cs="Calibri"/>
              <w:kern w:val="0"/>
              <w:lang w:val="en-US" w:eastAsia="en-KE"/>
              <w14:ligatures w14:val="none"/>
            </w:rPr>
            <w:instrText xml:space="preserve"> CITATION Res24 \l 1033 </w:instrText>
          </w:r>
          <w:r w:rsidR="00B27DDB" w:rsidRPr="004C1335">
            <w:rPr>
              <w:rFonts w:ascii="Calibri" w:eastAsia="Times New Roman" w:hAnsi="Calibri" w:cs="Calibri"/>
              <w:kern w:val="0"/>
              <w:lang w:eastAsia="en-KE"/>
              <w14:ligatures w14:val="none"/>
            </w:rPr>
            <w:fldChar w:fldCharType="separate"/>
          </w:r>
          <w:r w:rsidR="00B27DDB" w:rsidRPr="004C1335">
            <w:rPr>
              <w:rFonts w:ascii="Calibri" w:eastAsia="Times New Roman" w:hAnsi="Calibri" w:cs="Calibri"/>
              <w:noProof/>
              <w:kern w:val="0"/>
              <w:lang w:val="en-US" w:eastAsia="en-KE"/>
              <w14:ligatures w14:val="none"/>
            </w:rPr>
            <w:t>(Resolve.AI, 2024)</w:t>
          </w:r>
          <w:r w:rsidR="00B27DDB" w:rsidRPr="004C1335">
            <w:rPr>
              <w:rFonts w:ascii="Calibri" w:eastAsia="Times New Roman" w:hAnsi="Calibri" w:cs="Calibri"/>
              <w:kern w:val="0"/>
              <w:lang w:eastAsia="en-KE"/>
              <w14:ligatures w14:val="none"/>
            </w:rPr>
            <w:fldChar w:fldCharType="end"/>
          </w:r>
        </w:sdtContent>
      </w:sdt>
      <w:r w:rsidR="00576CFD">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In resilience engineering for data systems, MTTR becomes a key indicator of operational responsiveness and recovery capability. By setting targets for MTTR (for example, “critical service recovery within 30 minutes”), organisations make resilience tangible. It is worth noting, however, that MTTR alone does not capture recurrence, root-cause elimination or service</w:t>
      </w:r>
      <w:r w:rsidR="00401423"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degradation after “restoration.” In the context of African data infrastructures where outages may be due to cyberattacks, power failures or connectivity shocks, tracking MTTR allows stakeholders to benchmark recovery speed and drive improvement.</w:t>
      </w:r>
    </w:p>
    <w:p w14:paraId="2EBE6CAC" w14:textId="77777777" w:rsidR="00E67609" w:rsidRPr="0020127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201275">
        <w:rPr>
          <w:rFonts w:ascii="Calibri" w:eastAsia="Times New Roman" w:hAnsi="Calibri" w:cs="Calibri"/>
          <w:kern w:val="0"/>
          <w:lang w:eastAsia="en-KE"/>
          <w14:ligatures w14:val="none"/>
        </w:rPr>
        <w:t>Service Continuity Thresholds</w:t>
      </w:r>
    </w:p>
    <w:p w14:paraId="14E09296" w14:textId="141287C7" w:rsidR="00D37070" w:rsidRPr="004C133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Beyond MTTR, organisations should define service continuity thresholds</w:t>
      </w:r>
      <w:r w:rsidR="00D615DC" w:rsidRPr="004C1335">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the minimum acceptable operational state under disruption (for example “</w:t>
      </w:r>
      <w:r w:rsidR="00FD145B">
        <w:rPr>
          <w:rFonts w:ascii="Calibri" w:eastAsia="Times New Roman" w:hAnsi="Calibri" w:cs="Calibri"/>
          <w:kern w:val="0"/>
          <w:lang w:eastAsia="en-KE"/>
          <w14:ligatures w14:val="none"/>
        </w:rPr>
        <w:t>&gt;=</w:t>
      </w:r>
      <w:r w:rsidRPr="004C1335">
        <w:rPr>
          <w:rFonts w:ascii="Calibri" w:eastAsia="Times New Roman" w:hAnsi="Calibri" w:cs="Calibri"/>
          <w:kern w:val="0"/>
          <w:lang w:eastAsia="en-KE"/>
          <w14:ligatures w14:val="none"/>
        </w:rPr>
        <w:t xml:space="preserve"> 99 % of normal throughput during degraded mode”). These thresholds allow the translation of high-level resilience goals into measurable service-level objectives. </w:t>
      </w:r>
    </w:p>
    <w:p w14:paraId="360AFDE8" w14:textId="1A25D601" w:rsidR="00F22CCF" w:rsidRPr="00757241"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While literature on African data systems seldom uses this exact term, the framework of service continuity is recognisable in cloud guidance where availability and resilience are discussed together. For instance, Oracle’s cloud adoption framework defines MTTR as “a critical metric that measures the average time it takes to restore a service or system after a failure.” </w:t>
      </w:r>
      <w:sdt>
        <w:sdtPr>
          <w:rPr>
            <w:rFonts w:ascii="Calibri" w:eastAsia="Times New Roman" w:hAnsi="Calibri" w:cs="Calibri"/>
            <w:kern w:val="0"/>
            <w:lang w:eastAsia="en-KE"/>
            <w14:ligatures w14:val="none"/>
          </w:rPr>
          <w:id w:val="-1939822348"/>
          <w:citation/>
        </w:sdtPr>
        <w:sdtContent>
          <w:r w:rsidR="00854094" w:rsidRPr="004C1335">
            <w:rPr>
              <w:rFonts w:ascii="Calibri" w:eastAsia="Times New Roman" w:hAnsi="Calibri" w:cs="Calibri"/>
              <w:kern w:val="0"/>
              <w:lang w:eastAsia="en-KE"/>
              <w14:ligatures w14:val="none"/>
            </w:rPr>
            <w:fldChar w:fldCharType="begin"/>
          </w:r>
          <w:r w:rsidR="00854094" w:rsidRPr="004C1335">
            <w:rPr>
              <w:rFonts w:ascii="Calibri" w:eastAsia="Times New Roman" w:hAnsi="Calibri" w:cs="Calibri"/>
              <w:kern w:val="0"/>
              <w:lang w:val="en-US" w:eastAsia="en-KE"/>
              <w14:ligatures w14:val="none"/>
            </w:rPr>
            <w:instrText xml:space="preserve"> CITATION Ora23 \l 1033 </w:instrText>
          </w:r>
          <w:r w:rsidR="00854094" w:rsidRPr="004C1335">
            <w:rPr>
              <w:rFonts w:ascii="Calibri" w:eastAsia="Times New Roman" w:hAnsi="Calibri" w:cs="Calibri"/>
              <w:kern w:val="0"/>
              <w:lang w:eastAsia="en-KE"/>
              <w14:ligatures w14:val="none"/>
            </w:rPr>
            <w:fldChar w:fldCharType="separate"/>
          </w:r>
          <w:r w:rsidR="00854094" w:rsidRPr="004C1335">
            <w:rPr>
              <w:rFonts w:ascii="Calibri" w:eastAsia="Times New Roman" w:hAnsi="Calibri" w:cs="Calibri"/>
              <w:noProof/>
              <w:kern w:val="0"/>
              <w:lang w:val="en-US" w:eastAsia="en-KE"/>
              <w14:ligatures w14:val="none"/>
            </w:rPr>
            <w:t>((OCI), 2023)</w:t>
          </w:r>
          <w:r w:rsidR="00854094" w:rsidRPr="004C1335">
            <w:rPr>
              <w:rFonts w:ascii="Calibri" w:eastAsia="Times New Roman" w:hAnsi="Calibri" w:cs="Calibri"/>
              <w:kern w:val="0"/>
              <w:lang w:eastAsia="en-KE"/>
              <w14:ligatures w14:val="none"/>
            </w:rPr>
            <w:fldChar w:fldCharType="end"/>
          </w:r>
        </w:sdtContent>
      </w:sdt>
      <w:r w:rsidR="00BB406C"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Setting continuity thresholds forces architecture and operations teams to design for degradation rather than full halt.</w:t>
      </w:r>
    </w:p>
    <w:p w14:paraId="0FFDDAE4" w14:textId="6A9A21AE" w:rsidR="00E67609" w:rsidRPr="0020127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201275">
        <w:rPr>
          <w:rFonts w:ascii="Calibri" w:eastAsia="Times New Roman" w:hAnsi="Calibri" w:cs="Calibri"/>
          <w:kern w:val="0"/>
          <w:lang w:eastAsia="en-KE"/>
          <w14:ligatures w14:val="none"/>
        </w:rPr>
        <w:t>Data Integrity Loss (DIL)</w:t>
      </w:r>
    </w:p>
    <w:p w14:paraId="0D66BCBF" w14:textId="2103CE46" w:rsidR="00E67609" w:rsidRPr="004C133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 less frequently named but equally important metric is Data Integrity Loss (DIL</w:t>
      </w:r>
      <w:r w:rsidRPr="004C1335">
        <w:rPr>
          <w:rFonts w:ascii="Calibri" w:eastAsia="Times New Roman" w:hAnsi="Calibri" w:cs="Calibri"/>
          <w:b/>
          <w:bCs/>
          <w:kern w:val="0"/>
          <w:lang w:eastAsia="en-KE"/>
          <w14:ligatures w14:val="none"/>
        </w:rPr>
        <w:t>)</w:t>
      </w:r>
      <w:r w:rsidR="0049192F" w:rsidRPr="004C1335">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the extent and duration of data corruption, tampering or loss during a disruption. While few sources provide a standard formula, the principle is clear: measuring how many records were affected, how long integrity violations persisted, and how quickly normal integrity was restored. For robust resilience, a system must not only recover service availability but also restore data to a known-good state</w:t>
      </w:r>
      <w:r w:rsidR="00C64D0C"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Although the term DIL is not widely used in regulatory literature, operational frameworks should incorporate analogous measures (e.g., time to data restore, number of corrupted records, rollback duration) so that integrity is part of resilience, not only uptime.</w:t>
      </w:r>
    </w:p>
    <w:p w14:paraId="3838EE4B" w14:textId="77777777" w:rsidR="00693656" w:rsidRDefault="00693656" w:rsidP="00E67609">
      <w:pPr>
        <w:spacing w:before="100" w:beforeAutospacing="1" w:after="100" w:afterAutospacing="1" w:line="240" w:lineRule="auto"/>
        <w:jc w:val="both"/>
        <w:rPr>
          <w:rFonts w:ascii="Calibri" w:eastAsia="Times New Roman" w:hAnsi="Calibri" w:cs="Calibri"/>
          <w:kern w:val="0"/>
          <w:lang w:eastAsia="en-KE"/>
          <w14:ligatures w14:val="none"/>
        </w:rPr>
      </w:pPr>
    </w:p>
    <w:p w14:paraId="39639B31" w14:textId="4CA02F07" w:rsidR="00E67609" w:rsidRPr="0020127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201275">
        <w:rPr>
          <w:rFonts w:ascii="Calibri" w:eastAsia="Times New Roman" w:hAnsi="Calibri" w:cs="Calibri"/>
          <w:kern w:val="0"/>
          <w:lang w:eastAsia="en-KE"/>
          <w14:ligatures w14:val="none"/>
        </w:rPr>
        <w:lastRenderedPageBreak/>
        <w:t>Resilience Testing Coverage</w:t>
      </w:r>
    </w:p>
    <w:p w14:paraId="2DBE2CC1" w14:textId="4CA31A07" w:rsidR="00E67609" w:rsidRPr="004C133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Another operational metric is resilience testing coverage</w:t>
      </w:r>
      <w:r w:rsidR="004952E6" w:rsidRPr="004C1335">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the proportion of services, workflows or infrastructure components subjected to resilience testing (chaos experiments, adversarial simulations) and the frequency of such testing. Coverage metrics reflect the organisational maturity in validating resilience. For example, a recent empirical study on fault injection in cloud-native applications noted</w:t>
      </w:r>
      <w:r w:rsidR="004A33F7"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“Chaos engineering simulates real-world conditions and failure scenarios to assess system resilience and dependability.” </w:t>
      </w:r>
      <w:sdt>
        <w:sdtPr>
          <w:rPr>
            <w:rFonts w:ascii="Calibri" w:eastAsia="Times New Roman" w:hAnsi="Calibri" w:cs="Calibri"/>
            <w:kern w:val="0"/>
            <w:lang w:eastAsia="en-KE"/>
            <w14:ligatures w14:val="none"/>
          </w:rPr>
          <w:id w:val="2070534295"/>
          <w:citation/>
        </w:sdtPr>
        <w:sdtContent>
          <w:r w:rsidR="00E472C8" w:rsidRPr="004C1335">
            <w:rPr>
              <w:rFonts w:ascii="Calibri" w:eastAsia="Times New Roman" w:hAnsi="Calibri" w:cs="Calibri"/>
              <w:kern w:val="0"/>
              <w:lang w:eastAsia="en-KE"/>
              <w14:ligatures w14:val="none"/>
            </w:rPr>
            <w:fldChar w:fldCharType="begin"/>
          </w:r>
          <w:r w:rsidR="00E472C8" w:rsidRPr="004C1335">
            <w:rPr>
              <w:rFonts w:ascii="Calibri" w:eastAsia="Times New Roman" w:hAnsi="Calibri" w:cs="Calibri"/>
              <w:kern w:val="0"/>
              <w:lang w:val="en-US" w:eastAsia="en-KE"/>
              <w14:ligatures w14:val="none"/>
            </w:rPr>
            <w:instrText xml:space="preserve"> CITATION AlS24 \l 1033 </w:instrText>
          </w:r>
          <w:r w:rsidR="00E472C8" w:rsidRPr="004C1335">
            <w:rPr>
              <w:rFonts w:ascii="Calibri" w:eastAsia="Times New Roman" w:hAnsi="Calibri" w:cs="Calibri"/>
              <w:kern w:val="0"/>
              <w:lang w:eastAsia="en-KE"/>
              <w14:ligatures w14:val="none"/>
            </w:rPr>
            <w:fldChar w:fldCharType="separate"/>
          </w:r>
          <w:r w:rsidR="00E472C8" w:rsidRPr="004C1335">
            <w:rPr>
              <w:rFonts w:ascii="Calibri" w:eastAsia="Times New Roman" w:hAnsi="Calibri" w:cs="Calibri"/>
              <w:noProof/>
              <w:kern w:val="0"/>
              <w:lang w:val="en-US" w:eastAsia="en-KE"/>
              <w14:ligatures w14:val="none"/>
            </w:rPr>
            <w:t>(Al-Said Ahmad, 2024)</w:t>
          </w:r>
          <w:r w:rsidR="00E472C8" w:rsidRPr="004C1335">
            <w:rPr>
              <w:rFonts w:ascii="Calibri" w:eastAsia="Times New Roman" w:hAnsi="Calibri" w:cs="Calibri"/>
              <w:kern w:val="0"/>
              <w:lang w:eastAsia="en-KE"/>
              <w14:ligatures w14:val="none"/>
            </w:rPr>
            <w:fldChar w:fldCharType="end"/>
          </w:r>
        </w:sdtContent>
      </w:sdt>
      <w:r w:rsidR="00576CFD">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By tracking how many critical services were tested, how many simulated failures were triggered, and how often recovery metrics were measured, organisations tie architectural resilience to operational discipline.</w:t>
      </w:r>
    </w:p>
    <w:p w14:paraId="73C7A3FA" w14:textId="0210F00C" w:rsidR="00E67609" w:rsidRPr="00576CFD" w:rsidRDefault="00E67609" w:rsidP="00576CFD">
      <w:pPr>
        <w:pStyle w:val="Heading2"/>
        <w:jc w:val="center"/>
        <w:rPr>
          <w:rFonts w:eastAsia="Times New Roman"/>
          <w:sz w:val="28"/>
          <w:szCs w:val="28"/>
          <w:lang w:eastAsia="en-KE"/>
        </w:rPr>
      </w:pPr>
      <w:bookmarkStart w:id="14" w:name="_Toc213772616"/>
      <w:r w:rsidRPr="00576CFD">
        <w:rPr>
          <w:rFonts w:eastAsia="Times New Roman"/>
          <w:sz w:val="28"/>
          <w:szCs w:val="28"/>
          <w:lang w:eastAsia="en-KE"/>
        </w:rPr>
        <w:t>Testing Mechanisms</w:t>
      </w:r>
      <w:bookmarkEnd w:id="14"/>
    </w:p>
    <w:p w14:paraId="4CEAB30B" w14:textId="77777777" w:rsidR="00E67609" w:rsidRPr="0020127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201275">
        <w:rPr>
          <w:rFonts w:ascii="Calibri" w:eastAsia="Times New Roman" w:hAnsi="Calibri" w:cs="Calibri"/>
          <w:kern w:val="0"/>
          <w:lang w:eastAsia="en-KE"/>
          <w14:ligatures w14:val="none"/>
        </w:rPr>
        <w:t>Chaos Engineering</w:t>
      </w:r>
    </w:p>
    <w:p w14:paraId="4D7F1400" w14:textId="624DDB25" w:rsidR="00E67609" w:rsidRPr="0020127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201275">
        <w:rPr>
          <w:rFonts w:ascii="Calibri" w:eastAsia="Times New Roman" w:hAnsi="Calibri" w:cs="Calibri"/>
          <w:kern w:val="0"/>
          <w:lang w:eastAsia="en-KE"/>
          <w14:ligatures w14:val="none"/>
        </w:rPr>
        <w:t xml:space="preserve">Chaos engineering refers to the practice of intentionally injecting failures into one or more components of a production or near-production system </w:t>
      </w:r>
      <w:proofErr w:type="gramStart"/>
      <w:r w:rsidRPr="00201275">
        <w:rPr>
          <w:rFonts w:ascii="Calibri" w:eastAsia="Times New Roman" w:hAnsi="Calibri" w:cs="Calibri"/>
          <w:kern w:val="0"/>
          <w:lang w:eastAsia="en-KE"/>
          <w14:ligatures w14:val="none"/>
        </w:rPr>
        <w:t>in order to</w:t>
      </w:r>
      <w:proofErr w:type="gramEnd"/>
      <w:r w:rsidRPr="00201275">
        <w:rPr>
          <w:rFonts w:ascii="Calibri" w:eastAsia="Times New Roman" w:hAnsi="Calibri" w:cs="Calibri"/>
          <w:kern w:val="0"/>
          <w:lang w:eastAsia="en-KE"/>
          <w14:ligatures w14:val="none"/>
        </w:rPr>
        <w:t xml:space="preserve"> validate how the system behaves under adverse conditions and to improve its robustness.</w:t>
      </w:r>
      <w:r w:rsidRPr="00201275">
        <w:rPr>
          <w:rFonts w:ascii="Calibri" w:eastAsia="Times New Roman" w:hAnsi="Calibri" w:cs="Calibri"/>
          <w:kern w:val="0"/>
          <w:lang w:eastAsia="en-KE"/>
          <w14:ligatures w14:val="none"/>
        </w:rPr>
        <w:br/>
      </w:r>
      <w:r w:rsidR="009937E0" w:rsidRPr="00201275">
        <w:rPr>
          <w:rFonts w:ascii="Calibri" w:eastAsia="Times New Roman" w:hAnsi="Calibri" w:cs="Calibri"/>
          <w:kern w:val="0"/>
          <w:lang w:eastAsia="en-KE"/>
          <w14:ligatures w14:val="none"/>
        </w:rPr>
        <w:t xml:space="preserve">One </w:t>
      </w:r>
      <w:r w:rsidRPr="00201275">
        <w:rPr>
          <w:rFonts w:ascii="Calibri" w:eastAsia="Times New Roman" w:hAnsi="Calibri" w:cs="Calibri"/>
          <w:kern w:val="0"/>
          <w:lang w:eastAsia="en-KE"/>
          <w14:ligatures w14:val="none"/>
        </w:rPr>
        <w:t xml:space="preserve">empirical study showed how fault injection and delay induction in cloud-native systems help identify latent failure modes and assess throughput and latency under stress. </w:t>
      </w:r>
      <w:sdt>
        <w:sdtPr>
          <w:rPr>
            <w:rFonts w:ascii="Calibri" w:eastAsia="Times New Roman" w:hAnsi="Calibri" w:cs="Calibri"/>
            <w:kern w:val="0"/>
            <w:lang w:eastAsia="en-KE"/>
            <w14:ligatures w14:val="none"/>
          </w:rPr>
          <w:id w:val="-2058613204"/>
          <w:citation/>
        </w:sdtPr>
        <w:sdtContent>
          <w:r w:rsidR="002B49FE" w:rsidRPr="00201275">
            <w:rPr>
              <w:rFonts w:ascii="Calibri" w:eastAsia="Times New Roman" w:hAnsi="Calibri" w:cs="Calibri"/>
              <w:kern w:val="0"/>
              <w:lang w:eastAsia="en-KE"/>
              <w14:ligatures w14:val="none"/>
            </w:rPr>
            <w:fldChar w:fldCharType="begin"/>
          </w:r>
          <w:r w:rsidR="002B49FE" w:rsidRPr="00201275">
            <w:rPr>
              <w:rFonts w:ascii="Calibri" w:eastAsia="Times New Roman" w:hAnsi="Calibri" w:cs="Calibri"/>
              <w:kern w:val="0"/>
              <w:lang w:val="en-US" w:eastAsia="en-KE"/>
              <w14:ligatures w14:val="none"/>
            </w:rPr>
            <w:instrText xml:space="preserve"> CITATION AlS24 \l 1033 </w:instrText>
          </w:r>
          <w:r w:rsidR="002B49FE" w:rsidRPr="00201275">
            <w:rPr>
              <w:rFonts w:ascii="Calibri" w:eastAsia="Times New Roman" w:hAnsi="Calibri" w:cs="Calibri"/>
              <w:kern w:val="0"/>
              <w:lang w:eastAsia="en-KE"/>
              <w14:ligatures w14:val="none"/>
            </w:rPr>
            <w:fldChar w:fldCharType="separate"/>
          </w:r>
          <w:r w:rsidR="002B49FE" w:rsidRPr="00201275">
            <w:rPr>
              <w:rFonts w:ascii="Calibri" w:eastAsia="Times New Roman" w:hAnsi="Calibri" w:cs="Calibri"/>
              <w:noProof/>
              <w:kern w:val="0"/>
              <w:lang w:val="en-US" w:eastAsia="en-KE"/>
              <w14:ligatures w14:val="none"/>
            </w:rPr>
            <w:t>(Al-Said Ahmad, 2024)</w:t>
          </w:r>
          <w:r w:rsidR="002B49FE" w:rsidRPr="00201275">
            <w:rPr>
              <w:rFonts w:ascii="Calibri" w:eastAsia="Times New Roman" w:hAnsi="Calibri" w:cs="Calibri"/>
              <w:kern w:val="0"/>
              <w:lang w:eastAsia="en-KE"/>
              <w14:ligatures w14:val="none"/>
            </w:rPr>
            <w:fldChar w:fldCharType="end"/>
          </w:r>
        </w:sdtContent>
      </w:sdt>
      <w:r w:rsidR="002B49FE" w:rsidRPr="00201275">
        <w:rPr>
          <w:rFonts w:ascii="Calibri" w:eastAsia="Times New Roman" w:hAnsi="Calibri" w:cs="Calibri"/>
          <w:kern w:val="0"/>
          <w:lang w:eastAsia="en-KE"/>
          <w14:ligatures w14:val="none"/>
        </w:rPr>
        <w:t xml:space="preserve">. </w:t>
      </w:r>
      <w:r w:rsidRPr="00201275">
        <w:rPr>
          <w:rFonts w:ascii="Calibri" w:eastAsia="Times New Roman" w:hAnsi="Calibri" w:cs="Calibri"/>
          <w:kern w:val="0"/>
          <w:lang w:eastAsia="en-KE"/>
          <w14:ligatures w14:val="none"/>
        </w:rPr>
        <w:t>In operational resilience for African data systems, chaos engineering can simulate infrastructure failures (power cuts, link failures), region outages (cloud availability zone failure), or attack scenarios (denial of service, ransomware). By running controlled experiments, organisations uncover hidden dependencies, validate redundancy and refine recovery playbooks before a real incident occurs. This shifts resilience from reactive to proactive.</w:t>
      </w:r>
    </w:p>
    <w:p w14:paraId="1F2F2316" w14:textId="4B5F64B3" w:rsidR="00E67609" w:rsidRPr="0020127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201275">
        <w:rPr>
          <w:rFonts w:ascii="Calibri" w:eastAsia="Times New Roman" w:hAnsi="Calibri" w:cs="Calibri"/>
          <w:kern w:val="0"/>
          <w:lang w:eastAsia="en-KE"/>
          <w14:ligatures w14:val="none"/>
        </w:rPr>
        <w:t>Adversarial Simulations</w:t>
      </w:r>
    </w:p>
    <w:p w14:paraId="126ABD1F" w14:textId="1022BF33" w:rsidR="00576CFD" w:rsidRPr="00757241" w:rsidRDefault="00E67609" w:rsidP="00693656">
      <w:pPr>
        <w:spacing w:before="100" w:beforeAutospacing="1" w:after="100" w:afterAutospacing="1" w:line="240" w:lineRule="auto"/>
        <w:jc w:val="both"/>
        <w:rPr>
          <w:rFonts w:ascii="Calibri" w:eastAsia="Times New Roman" w:hAnsi="Calibri" w:cs="Calibri"/>
          <w:kern w:val="0"/>
          <w:lang w:eastAsia="en-KE"/>
          <w14:ligatures w14:val="none"/>
        </w:rPr>
      </w:pPr>
      <w:r w:rsidRPr="00201275">
        <w:rPr>
          <w:rFonts w:ascii="Calibri" w:eastAsia="Times New Roman" w:hAnsi="Calibri" w:cs="Calibri"/>
          <w:kern w:val="0"/>
          <w:lang w:eastAsia="en-KE"/>
          <w14:ligatures w14:val="none"/>
        </w:rPr>
        <w:t>Adversarial simulations complement</w:t>
      </w:r>
      <w:r w:rsidRPr="004C1335">
        <w:rPr>
          <w:rFonts w:ascii="Calibri" w:eastAsia="Times New Roman" w:hAnsi="Calibri" w:cs="Calibri"/>
          <w:kern w:val="0"/>
          <w:lang w:eastAsia="en-KE"/>
          <w14:ligatures w14:val="none"/>
        </w:rPr>
        <w:t xml:space="preserve"> chaos engineering by focusing on malicious or threat-driven disruptions rather than purely random faults. These include red teaming, tabletop incident response exercises involving cross-functional teams, simulated cyberattacks combined with infrastructure failure, and full-scale drills covering detection, containment, recovery and communication. While fewer academic studies explicitly label “adversarial simulation” in the context of resilience metrics, research in cyber-physical systems indicates the value of such simulation</w:t>
      </w:r>
      <w:r w:rsidR="00C721B2"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“This paper applies the principles of chaos engineering (CE) to industrial CPS</w:t>
      </w:r>
      <w:r w:rsidR="00A046AF"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in order to demonstrate the benefits of such practices on system resilience.” </w:t>
      </w:r>
      <w:sdt>
        <w:sdtPr>
          <w:rPr>
            <w:rFonts w:ascii="Calibri" w:eastAsia="Times New Roman" w:hAnsi="Calibri" w:cs="Calibri"/>
            <w:kern w:val="0"/>
            <w:lang w:eastAsia="en-KE"/>
            <w14:ligatures w14:val="none"/>
          </w:rPr>
          <w:id w:val="-273087292"/>
          <w:citation/>
        </w:sdtPr>
        <w:sdtContent>
          <w:r w:rsidR="002F0F8E" w:rsidRPr="004C1335">
            <w:rPr>
              <w:rFonts w:ascii="Calibri" w:eastAsia="Times New Roman" w:hAnsi="Calibri" w:cs="Calibri"/>
              <w:kern w:val="0"/>
              <w:lang w:eastAsia="en-KE"/>
              <w14:ligatures w14:val="none"/>
            </w:rPr>
            <w:fldChar w:fldCharType="begin"/>
          </w:r>
          <w:r w:rsidR="002F0F8E" w:rsidRPr="004C1335">
            <w:rPr>
              <w:rFonts w:ascii="Calibri" w:eastAsia="Times New Roman" w:hAnsi="Calibri" w:cs="Calibri"/>
              <w:kern w:val="0"/>
              <w:lang w:val="en-US" w:eastAsia="en-KE"/>
              <w14:ligatures w14:val="none"/>
            </w:rPr>
            <w:instrText xml:space="preserve"> CITATION Kon21 \l 1033 </w:instrText>
          </w:r>
          <w:r w:rsidR="002F0F8E" w:rsidRPr="004C1335">
            <w:rPr>
              <w:rFonts w:ascii="Calibri" w:eastAsia="Times New Roman" w:hAnsi="Calibri" w:cs="Calibri"/>
              <w:kern w:val="0"/>
              <w:lang w:eastAsia="en-KE"/>
              <w14:ligatures w14:val="none"/>
            </w:rPr>
            <w:fldChar w:fldCharType="separate"/>
          </w:r>
          <w:r w:rsidR="002F0F8E" w:rsidRPr="004C1335">
            <w:rPr>
              <w:rFonts w:ascii="Calibri" w:eastAsia="Times New Roman" w:hAnsi="Calibri" w:cs="Calibri"/>
              <w:noProof/>
              <w:kern w:val="0"/>
              <w:lang w:val="en-US" w:eastAsia="en-KE"/>
              <w14:ligatures w14:val="none"/>
            </w:rPr>
            <w:t>(Konstantinou, 2021)</w:t>
          </w:r>
          <w:r w:rsidR="002F0F8E" w:rsidRPr="004C1335">
            <w:rPr>
              <w:rFonts w:ascii="Calibri" w:eastAsia="Times New Roman" w:hAnsi="Calibri" w:cs="Calibri"/>
              <w:kern w:val="0"/>
              <w:lang w:eastAsia="en-KE"/>
              <w14:ligatures w14:val="none"/>
            </w:rPr>
            <w:fldChar w:fldCharType="end"/>
          </w:r>
        </w:sdtContent>
      </w:sdt>
      <w:r w:rsidR="007C5E20">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In governance and operational practice, embedding adversarial simulation means designing Scenarios (S1: multi-cloud region failure + coordinated cyberattack; S2: power grid outage + service continuity degradation) and then measuring MTTR, DIL and coverage metrics under these scenarios.</w:t>
      </w:r>
    </w:p>
    <w:p w14:paraId="547BB711" w14:textId="22723512" w:rsidR="00E67609" w:rsidRPr="00E54140" w:rsidRDefault="00E67609" w:rsidP="00E54140">
      <w:pPr>
        <w:pStyle w:val="Heading2"/>
        <w:jc w:val="center"/>
        <w:rPr>
          <w:rFonts w:eastAsia="Times New Roman"/>
          <w:sz w:val="28"/>
          <w:szCs w:val="28"/>
          <w:lang w:eastAsia="en-KE"/>
        </w:rPr>
      </w:pPr>
      <w:bookmarkStart w:id="15" w:name="_Toc213772617"/>
      <w:r w:rsidRPr="00E54140">
        <w:rPr>
          <w:rFonts w:eastAsia="Times New Roman"/>
          <w:sz w:val="28"/>
          <w:szCs w:val="28"/>
          <w:lang w:eastAsia="en-KE"/>
        </w:rPr>
        <w:lastRenderedPageBreak/>
        <w:t>AI and Automation</w:t>
      </w:r>
      <w:bookmarkEnd w:id="15"/>
    </w:p>
    <w:p w14:paraId="292AEFED" w14:textId="77777777" w:rsidR="00E67609" w:rsidRPr="007C5E20"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7C5E20">
        <w:rPr>
          <w:rFonts w:ascii="Calibri" w:eastAsia="Times New Roman" w:hAnsi="Calibri" w:cs="Calibri"/>
          <w:kern w:val="0"/>
          <w:lang w:eastAsia="en-KE"/>
          <w14:ligatures w14:val="none"/>
        </w:rPr>
        <w:t>AI-Driven Anomaly Detection</w:t>
      </w:r>
    </w:p>
    <w:p w14:paraId="6F432E63" w14:textId="22D30D5F" w:rsidR="00E67609" w:rsidRPr="004C133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complexity and scale of modern data systems make it infeasible to rely solely on manual detection of anomalies. AI-driven anomaly detection uses machine learning models and behaviour analytics to recognise deviations from normal patterns, flag them in real time and support earlier incident detection</w:t>
      </w:r>
      <w:r w:rsidR="00BC33FE"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thus reducing MTTD (mean time to detect) and consequently improving MTTR. While specific peer-reviewed literature on AI in African data-system resilience is emerging, broader cloud engineering reviews note the rise of “autonomous chaos agents and security chaos engineering” providing AI-enhanced fault injection and detection</w:t>
      </w:r>
      <w:r w:rsidR="001D7DFA" w:rsidRPr="004C1335">
        <w:rPr>
          <w:rFonts w:ascii="Calibri" w:eastAsia="Times New Roman" w:hAnsi="Calibri" w:cs="Calibri"/>
          <w:kern w:val="0"/>
          <w:lang w:eastAsia="en-KE"/>
          <w14:ligatures w14:val="none"/>
        </w:rPr>
        <w:t xml:space="preserve"> </w:t>
      </w:r>
      <w:sdt>
        <w:sdtPr>
          <w:rPr>
            <w:rFonts w:ascii="Calibri" w:eastAsia="Times New Roman" w:hAnsi="Calibri" w:cs="Calibri"/>
            <w:kern w:val="0"/>
            <w:lang w:eastAsia="en-KE"/>
            <w14:ligatures w14:val="none"/>
          </w:rPr>
          <w:id w:val="55985803"/>
          <w:citation/>
        </w:sdtPr>
        <w:sdtContent>
          <w:r w:rsidR="006D5650" w:rsidRPr="004C1335">
            <w:rPr>
              <w:rFonts w:ascii="Calibri" w:eastAsia="Times New Roman" w:hAnsi="Calibri" w:cs="Calibri"/>
              <w:kern w:val="0"/>
              <w:lang w:eastAsia="en-KE"/>
              <w14:ligatures w14:val="none"/>
            </w:rPr>
            <w:fldChar w:fldCharType="begin"/>
          </w:r>
          <w:r w:rsidR="006D5650" w:rsidRPr="004C1335">
            <w:rPr>
              <w:rFonts w:ascii="Calibri" w:eastAsia="Times New Roman" w:hAnsi="Calibri" w:cs="Calibri"/>
              <w:kern w:val="0"/>
              <w:lang w:val="en-US" w:eastAsia="en-KE"/>
              <w14:ligatures w14:val="none"/>
            </w:rPr>
            <w:instrText xml:space="preserve"> CITATION Opa25 \l 1033 </w:instrText>
          </w:r>
          <w:r w:rsidR="006D5650" w:rsidRPr="004C1335">
            <w:rPr>
              <w:rFonts w:ascii="Calibri" w:eastAsia="Times New Roman" w:hAnsi="Calibri" w:cs="Calibri"/>
              <w:kern w:val="0"/>
              <w:lang w:eastAsia="en-KE"/>
              <w14:ligatures w14:val="none"/>
            </w:rPr>
            <w:fldChar w:fldCharType="separate"/>
          </w:r>
          <w:r w:rsidR="006D5650" w:rsidRPr="004C1335">
            <w:rPr>
              <w:rFonts w:ascii="Calibri" w:eastAsia="Times New Roman" w:hAnsi="Calibri" w:cs="Calibri"/>
              <w:noProof/>
              <w:kern w:val="0"/>
              <w:lang w:val="en-US" w:eastAsia="en-KE"/>
              <w14:ligatures w14:val="none"/>
            </w:rPr>
            <w:t>(Opara, Akatakpo, Ironuru, Anyaene, &amp; Enobakhare, 2025)</w:t>
          </w:r>
          <w:r w:rsidR="006D5650" w:rsidRPr="004C1335">
            <w:rPr>
              <w:rFonts w:ascii="Calibri" w:eastAsia="Times New Roman" w:hAnsi="Calibri" w:cs="Calibri"/>
              <w:kern w:val="0"/>
              <w:lang w:eastAsia="en-KE"/>
              <w14:ligatures w14:val="none"/>
            </w:rPr>
            <w:fldChar w:fldCharType="end"/>
          </w:r>
        </w:sdtContent>
      </w:sdt>
      <w:r w:rsidR="005C0F70"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In an African setting, deploying AI-based telemetry may help compensate for limited human resources by enabling continuous monitoring across distributed infrastructure, alerting on anomalies and triggering predefined recovery workflows.</w:t>
      </w:r>
    </w:p>
    <w:p w14:paraId="7F577D41" w14:textId="77777777" w:rsidR="00E67609" w:rsidRPr="007C5E20"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7C5E20">
        <w:rPr>
          <w:rFonts w:ascii="Calibri" w:eastAsia="Times New Roman" w:hAnsi="Calibri" w:cs="Calibri"/>
          <w:kern w:val="0"/>
          <w:lang w:eastAsia="en-KE"/>
          <w14:ligatures w14:val="none"/>
        </w:rPr>
        <w:t>Automated Recovery Playbooks</w:t>
      </w:r>
    </w:p>
    <w:p w14:paraId="26660978" w14:textId="28583790" w:rsidR="00E67609" w:rsidRPr="004C133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Automated recovery playbooks mechanise the steps to recover services or restore data following a disruption. They may include scripts to fail over services, switch databases, reroute traffic, rollback changes and notify teams. The ability to execute recovery steps automatically reduces human decision time and error during high-stress incidents, thereby lowering MTTR. One paper on resilient IT systems states:</w:t>
      </w:r>
      <w:r w:rsidR="00693656">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“Through the integration of controlled fault injection and intelligent self-healing mechanisms, organizations can achieve near-zero downtime and ensure operational continuity even in adverse scenarios”</w:t>
      </w:r>
      <w:r w:rsidR="00DB6477" w:rsidRPr="004C1335">
        <w:rPr>
          <w:rFonts w:ascii="Calibri" w:eastAsia="Times New Roman" w:hAnsi="Calibri" w:cs="Calibri"/>
          <w:kern w:val="0"/>
          <w:lang w:eastAsia="en-KE"/>
          <w14:ligatures w14:val="none"/>
        </w:rPr>
        <w:t xml:space="preserve"> </w:t>
      </w:r>
      <w:sdt>
        <w:sdtPr>
          <w:rPr>
            <w:rFonts w:ascii="Calibri" w:eastAsia="Times New Roman" w:hAnsi="Calibri" w:cs="Calibri"/>
            <w:kern w:val="0"/>
            <w:lang w:eastAsia="en-KE"/>
            <w14:ligatures w14:val="none"/>
          </w:rPr>
          <w:id w:val="1971863533"/>
          <w:citation/>
        </w:sdtPr>
        <w:sdtContent>
          <w:r w:rsidR="00DB6477" w:rsidRPr="004C1335">
            <w:rPr>
              <w:rFonts w:ascii="Calibri" w:eastAsia="Times New Roman" w:hAnsi="Calibri" w:cs="Calibri"/>
              <w:kern w:val="0"/>
              <w:lang w:eastAsia="en-KE"/>
              <w14:ligatures w14:val="none"/>
            </w:rPr>
            <w:fldChar w:fldCharType="begin"/>
          </w:r>
          <w:r w:rsidR="00DB6477" w:rsidRPr="004C1335">
            <w:rPr>
              <w:rFonts w:ascii="Calibri" w:eastAsia="Times New Roman" w:hAnsi="Calibri" w:cs="Calibri"/>
              <w:kern w:val="0"/>
              <w:lang w:val="en-US" w:eastAsia="en-KE"/>
              <w14:ligatures w14:val="none"/>
            </w:rPr>
            <w:instrText xml:space="preserve"> CITATION Eri23 \l 1033 </w:instrText>
          </w:r>
          <w:r w:rsidR="00DB6477" w:rsidRPr="004C1335">
            <w:rPr>
              <w:rFonts w:ascii="Calibri" w:eastAsia="Times New Roman" w:hAnsi="Calibri" w:cs="Calibri"/>
              <w:kern w:val="0"/>
              <w:lang w:eastAsia="en-KE"/>
              <w14:ligatures w14:val="none"/>
            </w:rPr>
            <w:fldChar w:fldCharType="separate"/>
          </w:r>
          <w:r w:rsidR="00DB6477" w:rsidRPr="004C1335">
            <w:rPr>
              <w:rFonts w:ascii="Calibri" w:eastAsia="Times New Roman" w:hAnsi="Calibri" w:cs="Calibri"/>
              <w:noProof/>
              <w:kern w:val="0"/>
              <w:lang w:val="en-US" w:eastAsia="en-KE"/>
              <w14:ligatures w14:val="none"/>
            </w:rPr>
            <w:t>(Mhlongo, 2023)</w:t>
          </w:r>
          <w:r w:rsidR="00DB6477" w:rsidRPr="004C1335">
            <w:rPr>
              <w:rFonts w:ascii="Calibri" w:eastAsia="Times New Roman" w:hAnsi="Calibri" w:cs="Calibri"/>
              <w:kern w:val="0"/>
              <w:lang w:eastAsia="en-KE"/>
              <w14:ligatures w14:val="none"/>
            </w:rPr>
            <w:fldChar w:fldCharType="end"/>
          </w:r>
        </w:sdtContent>
      </w:sdt>
      <w:r w:rsidR="006D5650"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For African organisations, where on-the-ground incident response may be constrained by staffing or geography, automated recovery systems become strategic enablers of resilience. Including them as part of operational design ensures that once a disruption occurs, the system not only detects the issue but can respond and recover semi-autonomously, reducing reliance on manual triage and restoring service more quickly.</w:t>
      </w:r>
    </w:p>
    <w:p w14:paraId="338617F6" w14:textId="1E2A3AF1" w:rsidR="00E67609" w:rsidRPr="007C5E20"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7C5E20">
        <w:rPr>
          <w:rFonts w:ascii="Calibri" w:eastAsia="Times New Roman" w:hAnsi="Calibri" w:cs="Calibri"/>
          <w:kern w:val="0"/>
          <w:lang w:eastAsia="en-KE"/>
          <w14:ligatures w14:val="none"/>
        </w:rPr>
        <w:t>Operational Integration and Verification</w:t>
      </w:r>
    </w:p>
    <w:p w14:paraId="3A520A44" w14:textId="77777777" w:rsidR="00E67609" w:rsidRPr="004C133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Operational-level resilience is effective only if metrics, testing and automation are integrated into regular create-operate-monitor workflows. Key steps include:</w:t>
      </w:r>
    </w:p>
    <w:p w14:paraId="78609AA2" w14:textId="77777777" w:rsidR="00E67609" w:rsidRPr="004C1335" w:rsidRDefault="00E67609" w:rsidP="007C5E20">
      <w:pPr>
        <w:numPr>
          <w:ilvl w:val="0"/>
          <w:numId w:val="11"/>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Establishing baseline metrics for MTTR, DIL and test coverage.</w:t>
      </w:r>
    </w:p>
    <w:p w14:paraId="2D192114" w14:textId="77777777" w:rsidR="00E67609" w:rsidRPr="004C1335" w:rsidRDefault="00E67609" w:rsidP="007C5E20">
      <w:pPr>
        <w:numPr>
          <w:ilvl w:val="0"/>
          <w:numId w:val="11"/>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Aligning operational service continuity thresholds with business priorities and regulatory expectations (for example, critical data system must recover within 1 hour at 99 % capacity).</w:t>
      </w:r>
    </w:p>
    <w:p w14:paraId="3816C938" w14:textId="77777777" w:rsidR="00E67609" w:rsidRPr="004C1335" w:rsidRDefault="00E67609" w:rsidP="007C5E20">
      <w:pPr>
        <w:numPr>
          <w:ilvl w:val="0"/>
          <w:numId w:val="11"/>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Scheduling regular chaos engineering and adversarial simulation exercises, reporting coverage and outcomes.</w:t>
      </w:r>
    </w:p>
    <w:p w14:paraId="5D3231B9" w14:textId="77777777" w:rsidR="00E67609" w:rsidRPr="004C1335" w:rsidRDefault="00E67609" w:rsidP="007C5E20">
      <w:pPr>
        <w:numPr>
          <w:ilvl w:val="0"/>
          <w:numId w:val="11"/>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Embedding AI-driven detection and automated recovery playbooks into incident response plans, monitoring performance over time.</w:t>
      </w:r>
    </w:p>
    <w:p w14:paraId="69AA71E0" w14:textId="77777777" w:rsidR="00E67609" w:rsidRPr="004C1335" w:rsidRDefault="00E67609" w:rsidP="007C5E20">
      <w:pPr>
        <w:numPr>
          <w:ilvl w:val="0"/>
          <w:numId w:val="11"/>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Conducting post-incident reviews that link incident data to resilience metrics, expose root causes, and revise architecture and runbooks accordingly.</w:t>
      </w:r>
      <w:r w:rsidRPr="004C1335">
        <w:rPr>
          <w:rFonts w:ascii="Calibri" w:eastAsia="Times New Roman" w:hAnsi="Calibri" w:cs="Calibri"/>
          <w:kern w:val="0"/>
          <w:lang w:eastAsia="en-KE"/>
          <w14:ligatures w14:val="none"/>
        </w:rPr>
        <w:br/>
        <w:t>By operationalising these capabilities, data system operators turn resilience from a theoretical requirement into measurable practice.</w:t>
      </w:r>
    </w:p>
    <w:p w14:paraId="6CE322E4" w14:textId="77777777" w:rsidR="00AD27A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In sum, operational-level resilience builds the bridge between design ambition and operational reality. Through metrics (MTTR, service continuity thresholds, DIL, test coverage), testing mechanisms (chaos engineering and adversarial simulation) and advanced tools (AI anomaly detection, automated recovery playbooks), organisations can validate and strengthen their resilience capabilities. </w:t>
      </w:r>
    </w:p>
    <w:p w14:paraId="7FED4445" w14:textId="60BE71B3" w:rsidR="00E67609" w:rsidRPr="004C1335" w:rsidRDefault="00E67609" w:rsidP="00E67609">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For African data systems</w:t>
      </w:r>
      <w:r w:rsidR="00A23478"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characterised by variable infrastructure, regulatory heterogeneity and resource constraints</w:t>
      </w:r>
      <w:r w:rsidR="00A23478"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these operational practices are vital to ensuring continuity, integrity and trust. The next section will examine governance-level resilience in which institutional structures, audit regimes and cross-border coordination realise resilience at the regulatory and organisational level.</w:t>
      </w:r>
    </w:p>
    <w:p w14:paraId="064CA37E" w14:textId="4F5FDA82" w:rsidR="00952922" w:rsidRPr="00720C68" w:rsidRDefault="00720C68" w:rsidP="00720C68">
      <w:pPr>
        <w:pStyle w:val="Heading1"/>
        <w:jc w:val="center"/>
        <w:rPr>
          <w:rFonts w:eastAsia="Times New Roman"/>
          <w:sz w:val="32"/>
          <w:szCs w:val="32"/>
          <w:lang w:eastAsia="en-KE"/>
        </w:rPr>
      </w:pPr>
      <w:bookmarkStart w:id="16" w:name="_Toc213772618"/>
      <w:r w:rsidRPr="00720C68">
        <w:rPr>
          <w:rFonts w:eastAsia="Times New Roman"/>
          <w:sz w:val="32"/>
          <w:szCs w:val="32"/>
          <w:lang w:eastAsia="en-KE"/>
        </w:rPr>
        <w:t>GOVERNANCE LEVEL-RESILIENCE</w:t>
      </w:r>
      <w:bookmarkEnd w:id="16"/>
    </w:p>
    <w:p w14:paraId="4528CDD3" w14:textId="31DBBCDB" w:rsidR="00952922" w:rsidRPr="003B3CDF" w:rsidRDefault="00952922" w:rsidP="003B3CDF">
      <w:pPr>
        <w:pStyle w:val="Heading2"/>
        <w:jc w:val="center"/>
        <w:rPr>
          <w:rFonts w:eastAsia="Times New Roman"/>
          <w:lang w:eastAsia="en-KE"/>
        </w:rPr>
      </w:pPr>
      <w:bookmarkStart w:id="17" w:name="_Toc213772619"/>
      <w:r w:rsidRPr="003B3CDF">
        <w:rPr>
          <w:rFonts w:eastAsia="Times New Roman"/>
          <w:lang w:eastAsia="en-KE"/>
        </w:rPr>
        <w:t>Institutional Integration</w:t>
      </w:r>
      <w:bookmarkEnd w:id="17"/>
    </w:p>
    <w:p w14:paraId="496CE235" w14:textId="77777777" w:rsidR="00952922" w:rsidRPr="00532D7F" w:rsidRDefault="00952922" w:rsidP="00952922">
      <w:pPr>
        <w:spacing w:before="100" w:beforeAutospacing="1" w:after="100" w:afterAutospacing="1" w:line="240" w:lineRule="auto"/>
        <w:jc w:val="both"/>
        <w:rPr>
          <w:rFonts w:ascii="Calibri" w:eastAsia="Times New Roman" w:hAnsi="Calibri" w:cs="Calibri"/>
          <w:i/>
          <w:iCs/>
          <w:kern w:val="0"/>
          <w:lang w:eastAsia="en-KE"/>
          <w14:ligatures w14:val="none"/>
        </w:rPr>
      </w:pPr>
      <w:r w:rsidRPr="00532D7F">
        <w:rPr>
          <w:rFonts w:ascii="Calibri" w:eastAsia="Times New Roman" w:hAnsi="Calibri" w:cs="Calibri"/>
          <w:i/>
          <w:iCs/>
          <w:kern w:val="0"/>
          <w:lang w:eastAsia="en-KE"/>
          <w14:ligatures w14:val="none"/>
        </w:rPr>
        <w:t>Role of Computer Emergency Response Teams (CERTs)</w:t>
      </w:r>
    </w:p>
    <w:p w14:paraId="2D8DCD1C" w14:textId="24999737" w:rsidR="00952922" w:rsidRPr="004C1335"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establishment and empowerment of national and sectoral CERTs or CSIRTs are central to resilience governance. Such teams serve as technical and coordination hubs during incidents, ensuring rapid detection, communication and response. For example, in the context of critical information infrastructures the Digital Regulation Platform notes</w:t>
      </w:r>
      <w:r w:rsidR="008C4D5A"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“The national CSIRTs provide technical support to CI/CII operators in their incident response management cycle”</w:t>
      </w:r>
      <w:r w:rsidR="00A07F77" w:rsidRPr="004C1335">
        <w:rPr>
          <w:rFonts w:ascii="Calibri" w:eastAsia="Times New Roman" w:hAnsi="Calibri" w:cs="Calibri"/>
          <w:kern w:val="0"/>
          <w:lang w:eastAsia="en-KE"/>
          <w14:ligatures w14:val="none"/>
        </w:rPr>
        <w:t xml:space="preserve"> </w:t>
      </w:r>
      <w:sdt>
        <w:sdtPr>
          <w:rPr>
            <w:rFonts w:ascii="Calibri" w:eastAsia="Times New Roman" w:hAnsi="Calibri" w:cs="Calibri"/>
            <w:kern w:val="0"/>
            <w:lang w:eastAsia="en-KE"/>
            <w14:ligatures w14:val="none"/>
          </w:rPr>
          <w:id w:val="577556825"/>
          <w:citation/>
        </w:sdtPr>
        <w:sdtContent>
          <w:r w:rsidR="00A07F77" w:rsidRPr="004C1335">
            <w:rPr>
              <w:rFonts w:ascii="Calibri" w:eastAsia="Times New Roman" w:hAnsi="Calibri" w:cs="Calibri"/>
              <w:kern w:val="0"/>
              <w:lang w:eastAsia="en-KE"/>
              <w14:ligatures w14:val="none"/>
            </w:rPr>
            <w:fldChar w:fldCharType="begin"/>
          </w:r>
          <w:r w:rsidR="00A07F77" w:rsidRPr="004C1335">
            <w:rPr>
              <w:rFonts w:ascii="Calibri" w:eastAsia="Times New Roman" w:hAnsi="Calibri" w:cs="Calibri"/>
              <w:kern w:val="0"/>
              <w:lang w:val="en-US" w:eastAsia="en-KE"/>
              <w14:ligatures w14:val="none"/>
            </w:rPr>
            <w:instrText xml:space="preserve"> CITATION Pla21 \l 1033 </w:instrText>
          </w:r>
          <w:r w:rsidR="00A07F77" w:rsidRPr="004C1335">
            <w:rPr>
              <w:rFonts w:ascii="Calibri" w:eastAsia="Times New Roman" w:hAnsi="Calibri" w:cs="Calibri"/>
              <w:kern w:val="0"/>
              <w:lang w:eastAsia="en-KE"/>
              <w14:ligatures w14:val="none"/>
            </w:rPr>
            <w:fldChar w:fldCharType="separate"/>
          </w:r>
          <w:r w:rsidR="00A07F77" w:rsidRPr="004C1335">
            <w:rPr>
              <w:rFonts w:ascii="Calibri" w:eastAsia="Times New Roman" w:hAnsi="Calibri" w:cs="Calibri"/>
              <w:noProof/>
              <w:kern w:val="0"/>
              <w:lang w:val="en-US" w:eastAsia="en-KE"/>
              <w14:ligatures w14:val="none"/>
            </w:rPr>
            <w:t>(Regulation, 2021)</w:t>
          </w:r>
          <w:r w:rsidR="00A07F77" w:rsidRPr="004C1335">
            <w:rPr>
              <w:rFonts w:ascii="Calibri" w:eastAsia="Times New Roman" w:hAnsi="Calibri" w:cs="Calibri"/>
              <w:kern w:val="0"/>
              <w:lang w:eastAsia="en-KE"/>
              <w14:ligatures w14:val="none"/>
            </w:rPr>
            <w:fldChar w:fldCharType="end"/>
          </w:r>
        </w:sdtContent>
      </w:sdt>
      <w:r w:rsidR="007A1F31"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This supports the argument that CERTs not only detect and manage incidents but also actively enable coordination between operators, regulators and cross-border networks.</w:t>
      </w:r>
    </w:p>
    <w:p w14:paraId="340279C6" w14:textId="77777777" w:rsidR="00952922" w:rsidRPr="004C1335"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In Africa’s context, institutionalizing the CERT function means allocating resources, clarifying mandates, enabling public-private information sharing and integrating CERT operations into national incident-response frameworks. By doing so, resilience becomes an operational capability rather than a theoretical objective.</w:t>
      </w:r>
    </w:p>
    <w:p w14:paraId="5E066929" w14:textId="77777777" w:rsidR="00952922" w:rsidRPr="005F2A20" w:rsidRDefault="00952922" w:rsidP="00952922">
      <w:pPr>
        <w:spacing w:before="100" w:beforeAutospacing="1" w:after="100" w:afterAutospacing="1" w:line="240" w:lineRule="auto"/>
        <w:jc w:val="both"/>
        <w:rPr>
          <w:rFonts w:ascii="Calibri" w:eastAsia="Times New Roman" w:hAnsi="Calibri" w:cs="Calibri"/>
          <w:i/>
          <w:iCs/>
          <w:kern w:val="0"/>
          <w:lang w:eastAsia="en-KE"/>
          <w14:ligatures w14:val="none"/>
        </w:rPr>
      </w:pPr>
      <w:r w:rsidRPr="005F2A20">
        <w:rPr>
          <w:rFonts w:ascii="Calibri" w:eastAsia="Times New Roman" w:hAnsi="Calibri" w:cs="Calibri"/>
          <w:i/>
          <w:iCs/>
          <w:kern w:val="0"/>
          <w:lang w:eastAsia="en-KE"/>
          <w14:ligatures w14:val="none"/>
        </w:rPr>
        <w:t>Embedding Resilience Audits into Compliance Regimes</w:t>
      </w:r>
    </w:p>
    <w:p w14:paraId="42558EF2" w14:textId="77777777" w:rsidR="005F2A20"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Resilience governance must go beyond compliance checklists and incorporate dynamic audits that assess capabilities, recovery metrics and continuity readiness rather than simply verifying static controls. The Organisation for Economic Co</w:t>
      </w:r>
      <w:r w:rsidRPr="004C1335">
        <w:rPr>
          <w:rFonts w:ascii="Calibri" w:eastAsia="Times New Roman" w:hAnsi="Calibri" w:cs="Calibri"/>
          <w:kern w:val="0"/>
          <w:lang w:eastAsia="en-KE"/>
          <w14:ligatures w14:val="none"/>
        </w:rPr>
        <w:noBreakHyphen/>
        <w:t>operation and Development (OECD) emphasises that good governance of critical infrastructure resilience requires:</w:t>
      </w:r>
      <w:r w:rsidR="005F2A20">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“Governments should monitor implementation and evaluate progress in attaining resilience objectives, with a clear accountability framework for operators”</w:t>
      </w:r>
      <w:r w:rsidR="00C329CC" w:rsidRPr="004C1335">
        <w:rPr>
          <w:rFonts w:ascii="Calibri" w:eastAsia="Times New Roman" w:hAnsi="Calibri" w:cs="Calibri"/>
          <w:kern w:val="0"/>
          <w:lang w:eastAsia="en-KE"/>
          <w14:ligatures w14:val="none"/>
        </w:rPr>
        <w:t xml:space="preserve"> </w:t>
      </w:r>
      <w:sdt>
        <w:sdtPr>
          <w:rPr>
            <w:rFonts w:ascii="Calibri" w:eastAsia="Times New Roman" w:hAnsi="Calibri" w:cs="Calibri"/>
            <w:kern w:val="0"/>
            <w:lang w:eastAsia="en-KE"/>
            <w14:ligatures w14:val="none"/>
          </w:rPr>
          <w:id w:val="560144001"/>
          <w:citation/>
        </w:sdtPr>
        <w:sdtContent>
          <w:r w:rsidR="005748F4" w:rsidRPr="004C1335">
            <w:rPr>
              <w:rFonts w:ascii="Calibri" w:eastAsia="Times New Roman" w:hAnsi="Calibri" w:cs="Calibri"/>
              <w:kern w:val="0"/>
              <w:lang w:eastAsia="en-KE"/>
              <w14:ligatures w14:val="none"/>
            </w:rPr>
            <w:fldChar w:fldCharType="begin"/>
          </w:r>
          <w:r w:rsidR="005748F4" w:rsidRPr="004C1335">
            <w:rPr>
              <w:rFonts w:ascii="Calibri" w:eastAsia="Times New Roman" w:hAnsi="Calibri" w:cs="Calibri"/>
              <w:kern w:val="0"/>
              <w:lang w:val="en-US" w:eastAsia="en-KE"/>
              <w14:ligatures w14:val="none"/>
            </w:rPr>
            <w:instrText xml:space="preserve"> CITATION Org22 \l 1033 </w:instrText>
          </w:r>
          <w:r w:rsidR="005748F4" w:rsidRPr="004C1335">
            <w:rPr>
              <w:rFonts w:ascii="Calibri" w:eastAsia="Times New Roman" w:hAnsi="Calibri" w:cs="Calibri"/>
              <w:kern w:val="0"/>
              <w:lang w:eastAsia="en-KE"/>
              <w14:ligatures w14:val="none"/>
            </w:rPr>
            <w:fldChar w:fldCharType="separate"/>
          </w:r>
          <w:r w:rsidR="005748F4" w:rsidRPr="004C1335">
            <w:rPr>
              <w:rFonts w:ascii="Calibri" w:eastAsia="Times New Roman" w:hAnsi="Calibri" w:cs="Calibri"/>
              <w:noProof/>
              <w:kern w:val="0"/>
              <w:lang w:val="en-US" w:eastAsia="en-KE"/>
              <w14:ligatures w14:val="none"/>
            </w:rPr>
            <w:t>(Development, 2022)</w:t>
          </w:r>
          <w:r w:rsidR="005748F4" w:rsidRPr="004C1335">
            <w:rPr>
              <w:rFonts w:ascii="Calibri" w:eastAsia="Times New Roman" w:hAnsi="Calibri" w:cs="Calibri"/>
              <w:kern w:val="0"/>
              <w:lang w:eastAsia="en-KE"/>
              <w14:ligatures w14:val="none"/>
            </w:rPr>
            <w:fldChar w:fldCharType="end"/>
          </w:r>
        </w:sdtContent>
      </w:sdt>
      <w:r w:rsidR="005F2A20">
        <w:rPr>
          <w:rFonts w:ascii="Calibri" w:eastAsia="Times New Roman" w:hAnsi="Calibri" w:cs="Calibri"/>
          <w:kern w:val="0"/>
          <w:lang w:eastAsia="en-KE"/>
          <w14:ligatures w14:val="none"/>
        </w:rPr>
        <w:t xml:space="preserve">. </w:t>
      </w:r>
    </w:p>
    <w:p w14:paraId="28E62E3F" w14:textId="28D9B084" w:rsidR="00952922" w:rsidRPr="004C1335"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In a data-systems context this means regulators or appointed audit bodies should review resilience metrics (e.g., MTTR, service continuity thresholds), verify that testing scenarios have been executed and validate that acceptable recovery performance has been achieved. Embedding such audits into licensing, certification or regulatory reporting elevates resilience from voluntary best practice to enforceable governance dimension.</w:t>
      </w:r>
    </w:p>
    <w:p w14:paraId="2188E9CD" w14:textId="7D98653A" w:rsidR="00952922" w:rsidRPr="007C5E20"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7C5E20">
        <w:rPr>
          <w:rFonts w:ascii="Calibri" w:eastAsia="Times New Roman" w:hAnsi="Calibri" w:cs="Calibri"/>
          <w:kern w:val="0"/>
          <w:lang w:eastAsia="en-KE"/>
          <w14:ligatures w14:val="none"/>
        </w:rPr>
        <w:t>Cross-Sector and Cross-Border Coordination (Public–Private Partnerships)</w:t>
      </w:r>
    </w:p>
    <w:p w14:paraId="5FB0C29B" w14:textId="69521E84" w:rsidR="007C5E20" w:rsidRPr="00757241" w:rsidRDefault="00952922" w:rsidP="00757241">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Resilience often depends on coordination across sectors (telecommunications, power, finance, health) and across national borders. The complexity of data systems and the interdependencies of critical services require multi-actor coordination. A recent World Economic Forum article states</w:t>
      </w:r>
      <w:r w:rsidR="00C53958">
        <w:rPr>
          <w:rFonts w:ascii="Calibri" w:eastAsia="Times New Roman" w:hAnsi="Calibri" w:cs="Calibri"/>
          <w:kern w:val="0"/>
          <w:lang w:eastAsia="en-KE"/>
          <w14:ligatures w14:val="none"/>
        </w:rPr>
        <w:t xml:space="preserve"> that </w:t>
      </w:r>
      <w:r w:rsidRPr="004C1335">
        <w:rPr>
          <w:rFonts w:ascii="Calibri" w:eastAsia="Times New Roman" w:hAnsi="Calibri" w:cs="Calibri"/>
          <w:kern w:val="0"/>
          <w:lang w:eastAsia="en-KE"/>
          <w14:ligatures w14:val="none"/>
        </w:rPr>
        <w:t>Public-private collaboration is critical for building long-term resilience and creating a more sustainable and stable future</w:t>
      </w:r>
      <w:sdt>
        <w:sdtPr>
          <w:rPr>
            <w:rFonts w:ascii="Calibri" w:eastAsia="Times New Roman" w:hAnsi="Calibri" w:cs="Calibri"/>
            <w:kern w:val="0"/>
            <w:lang w:eastAsia="en-KE"/>
            <w14:ligatures w14:val="none"/>
          </w:rPr>
          <w:id w:val="1085111552"/>
          <w:citation/>
        </w:sdtPr>
        <w:sdtContent>
          <w:r w:rsidR="000A6B9F" w:rsidRPr="004C1335">
            <w:rPr>
              <w:rFonts w:ascii="Calibri" w:eastAsia="Times New Roman" w:hAnsi="Calibri" w:cs="Calibri"/>
              <w:kern w:val="0"/>
              <w:lang w:eastAsia="en-KE"/>
              <w14:ligatures w14:val="none"/>
            </w:rPr>
            <w:fldChar w:fldCharType="begin"/>
          </w:r>
          <w:r w:rsidR="000A6B9F" w:rsidRPr="004C1335">
            <w:rPr>
              <w:rFonts w:ascii="Calibri" w:eastAsia="Times New Roman" w:hAnsi="Calibri" w:cs="Calibri"/>
              <w:kern w:val="0"/>
              <w:lang w:val="en-US" w:eastAsia="en-KE"/>
              <w14:ligatures w14:val="none"/>
            </w:rPr>
            <w:instrText xml:space="preserve"> CITATION Duš25 \l 1033 </w:instrText>
          </w:r>
          <w:r w:rsidR="000A6B9F" w:rsidRPr="004C1335">
            <w:rPr>
              <w:rFonts w:ascii="Calibri" w:eastAsia="Times New Roman" w:hAnsi="Calibri" w:cs="Calibri"/>
              <w:kern w:val="0"/>
              <w:lang w:eastAsia="en-KE"/>
              <w14:ligatures w14:val="none"/>
            </w:rPr>
            <w:fldChar w:fldCharType="separate"/>
          </w:r>
          <w:r w:rsidR="000A6B9F" w:rsidRPr="004C1335">
            <w:rPr>
              <w:rFonts w:ascii="Calibri" w:eastAsia="Times New Roman" w:hAnsi="Calibri" w:cs="Calibri"/>
              <w:noProof/>
              <w:kern w:val="0"/>
              <w:lang w:val="en-US" w:eastAsia="en-KE"/>
              <w14:ligatures w14:val="none"/>
            </w:rPr>
            <w:t xml:space="preserve"> (Dušek, 2025)</w:t>
          </w:r>
          <w:r w:rsidR="000A6B9F" w:rsidRPr="004C1335">
            <w:rPr>
              <w:rFonts w:ascii="Calibri" w:eastAsia="Times New Roman" w:hAnsi="Calibri" w:cs="Calibri"/>
              <w:kern w:val="0"/>
              <w:lang w:eastAsia="en-KE"/>
              <w14:ligatures w14:val="none"/>
            </w:rPr>
            <w:fldChar w:fldCharType="end"/>
          </w:r>
        </w:sdtContent>
      </w:sdt>
      <w:r w:rsidR="00D43234" w:rsidRPr="004C1335">
        <w:rPr>
          <w:rFonts w:ascii="Calibri" w:eastAsia="Times New Roman" w:hAnsi="Calibri" w:cs="Calibri"/>
          <w:kern w:val="0"/>
          <w:lang w:eastAsia="en-KE"/>
          <w14:ligatures w14:val="none"/>
        </w:rPr>
        <w:t>.</w:t>
      </w:r>
      <w:r w:rsidR="003564E8"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Additionally, formal collaboration between public agencies and private operators is identified as essential in evolving resilient infrastructures. For </w:t>
      </w:r>
      <w:r w:rsidR="00D43234" w:rsidRPr="004C1335">
        <w:rPr>
          <w:rFonts w:ascii="Calibri" w:eastAsia="Times New Roman" w:hAnsi="Calibri" w:cs="Calibri"/>
          <w:kern w:val="0"/>
          <w:lang w:eastAsia="en-KE"/>
          <w14:ligatures w14:val="none"/>
        </w:rPr>
        <w:t>example,</w:t>
      </w:r>
      <w:r w:rsidRPr="004C1335">
        <w:rPr>
          <w:rFonts w:ascii="Calibri" w:eastAsia="Times New Roman" w:hAnsi="Calibri" w:cs="Calibri"/>
          <w:kern w:val="0"/>
          <w:lang w:eastAsia="en-KE"/>
          <w14:ligatures w14:val="none"/>
        </w:rPr>
        <w:t xml:space="preserve"> the Digital Regulation Platform highlights the role of government-private cooperation for incident reporting, awareness campaigns and shared contingency planning. For African digital economies this translates into: (a) sector-specific resilience forums (state regulator, major private providers, infrastructure operators); (b) regional/multinational frameworks for incident-sharing and cross-border recovery; and (c) public-private funding/partnership models to share cost, expertise and risk.</w:t>
      </w:r>
      <w:bookmarkStart w:id="18" w:name="_Toc213772620"/>
    </w:p>
    <w:p w14:paraId="6681B12F" w14:textId="34814E97" w:rsidR="00952922" w:rsidRPr="004C1335" w:rsidRDefault="00952922" w:rsidP="003B3CDF">
      <w:pPr>
        <w:pStyle w:val="Heading2"/>
        <w:jc w:val="center"/>
        <w:rPr>
          <w:rFonts w:eastAsia="Times New Roman"/>
          <w:lang w:eastAsia="en-KE"/>
        </w:rPr>
      </w:pPr>
      <w:r w:rsidRPr="004C1335">
        <w:rPr>
          <w:rFonts w:eastAsia="Times New Roman"/>
          <w:lang w:eastAsia="en-KE"/>
        </w:rPr>
        <w:t>Regulatory Innovation</w:t>
      </w:r>
      <w:bookmarkEnd w:id="18"/>
    </w:p>
    <w:p w14:paraId="18774DA4" w14:textId="77777777" w:rsidR="00952922" w:rsidRPr="00C53958" w:rsidRDefault="00952922" w:rsidP="00952922">
      <w:pPr>
        <w:spacing w:before="100" w:beforeAutospacing="1" w:after="100" w:afterAutospacing="1" w:line="240" w:lineRule="auto"/>
        <w:jc w:val="both"/>
        <w:rPr>
          <w:rFonts w:ascii="Calibri" w:eastAsia="Times New Roman" w:hAnsi="Calibri" w:cs="Calibri"/>
          <w:i/>
          <w:iCs/>
          <w:kern w:val="0"/>
          <w:lang w:eastAsia="en-KE"/>
          <w14:ligatures w14:val="none"/>
        </w:rPr>
      </w:pPr>
      <w:r w:rsidRPr="00C53958">
        <w:rPr>
          <w:rFonts w:ascii="Calibri" w:eastAsia="Times New Roman" w:hAnsi="Calibri" w:cs="Calibri"/>
          <w:i/>
          <w:iCs/>
          <w:kern w:val="0"/>
          <w:lang w:eastAsia="en-KE"/>
          <w14:ligatures w14:val="none"/>
        </w:rPr>
        <w:t>From Compliance-Based to Capability-Based Governance</w:t>
      </w:r>
    </w:p>
    <w:p w14:paraId="33EA3FD5" w14:textId="5F8F6A86" w:rsidR="00952922" w:rsidRPr="004C1335"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Traditional regulatory models emphasise compliance with rules (for example: “have this technical measure”, “report this type of breach”). </w:t>
      </w:r>
      <w:r w:rsidR="003564E8" w:rsidRPr="004C1335">
        <w:rPr>
          <w:rFonts w:ascii="Calibri" w:eastAsia="Times New Roman" w:hAnsi="Calibri" w:cs="Calibri"/>
          <w:kern w:val="0"/>
          <w:lang w:eastAsia="en-KE"/>
          <w14:ligatures w14:val="none"/>
        </w:rPr>
        <w:t>However,</w:t>
      </w:r>
      <w:r w:rsidRPr="004C1335">
        <w:rPr>
          <w:rFonts w:ascii="Calibri" w:eastAsia="Times New Roman" w:hAnsi="Calibri" w:cs="Calibri"/>
          <w:kern w:val="0"/>
          <w:lang w:eastAsia="en-KE"/>
          <w14:ligatures w14:val="none"/>
        </w:rPr>
        <w:t xml:space="preserve"> resilience demands governance based on capabilities</w:t>
      </w:r>
      <w:r w:rsidR="003564E8"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 xml:space="preserve">how well organisations can </w:t>
      </w:r>
      <w:r w:rsidRPr="004C1335">
        <w:rPr>
          <w:rFonts w:ascii="Calibri" w:eastAsia="Times New Roman" w:hAnsi="Calibri" w:cs="Calibri"/>
          <w:i/>
          <w:iCs/>
          <w:kern w:val="0"/>
          <w:lang w:eastAsia="en-KE"/>
          <w14:ligatures w14:val="none"/>
        </w:rPr>
        <w:t>perform</w:t>
      </w:r>
      <w:r w:rsidRPr="004C1335">
        <w:rPr>
          <w:rFonts w:ascii="Calibri" w:eastAsia="Times New Roman" w:hAnsi="Calibri" w:cs="Calibri"/>
          <w:kern w:val="0"/>
          <w:lang w:eastAsia="en-KE"/>
          <w14:ligatures w14:val="none"/>
        </w:rPr>
        <w:t xml:space="preserve"> under disruption. In the digital era, scholars propose that the regulatory state must evolve:</w:t>
      </w:r>
    </w:p>
    <w:p w14:paraId="3C9F8B25" w14:textId="690289CE" w:rsidR="00952922" w:rsidRPr="00F51569" w:rsidRDefault="00952922" w:rsidP="00952922">
      <w:pPr>
        <w:spacing w:before="100" w:beforeAutospacing="1" w:after="100" w:afterAutospacing="1" w:line="240" w:lineRule="auto"/>
        <w:jc w:val="both"/>
        <w:rPr>
          <w:rFonts w:ascii="Calibri" w:eastAsia="Times New Roman" w:hAnsi="Calibri" w:cs="Calibri"/>
          <w:i/>
          <w:iCs/>
          <w:kern w:val="0"/>
          <w:lang w:eastAsia="en-KE"/>
          <w14:ligatures w14:val="none"/>
        </w:rPr>
      </w:pPr>
      <w:r w:rsidRPr="00F51569">
        <w:rPr>
          <w:rFonts w:ascii="Calibri" w:eastAsia="Times New Roman" w:hAnsi="Calibri" w:cs="Calibri"/>
          <w:i/>
          <w:iCs/>
          <w:kern w:val="0"/>
          <w:lang w:eastAsia="en-KE"/>
          <w14:ligatures w14:val="none"/>
        </w:rPr>
        <w:t>“Recognising the dynamic nature of value creation</w:t>
      </w:r>
      <w:r w:rsidR="003564E8" w:rsidRPr="00F51569">
        <w:rPr>
          <w:rFonts w:ascii="Calibri" w:eastAsia="Times New Roman" w:hAnsi="Calibri" w:cs="Calibri"/>
          <w:i/>
          <w:iCs/>
          <w:kern w:val="0"/>
          <w:lang w:eastAsia="en-KE"/>
          <w14:ligatures w14:val="none"/>
        </w:rPr>
        <w:t>,</w:t>
      </w:r>
      <w:r w:rsidRPr="00F51569">
        <w:rPr>
          <w:rFonts w:ascii="Calibri" w:eastAsia="Times New Roman" w:hAnsi="Calibri" w:cs="Calibri"/>
          <w:i/>
          <w:iCs/>
          <w:kern w:val="0"/>
          <w:lang w:eastAsia="en-KE"/>
          <w14:ligatures w14:val="none"/>
        </w:rPr>
        <w:t xml:space="preserve"> means rethinking the role of the state</w:t>
      </w:r>
      <w:r w:rsidR="006B3E55" w:rsidRPr="00F51569">
        <w:rPr>
          <w:rFonts w:ascii="Calibri" w:eastAsia="Times New Roman" w:hAnsi="Calibri" w:cs="Calibri"/>
          <w:i/>
          <w:iCs/>
          <w:kern w:val="0"/>
          <w:lang w:eastAsia="en-KE"/>
          <w14:ligatures w14:val="none"/>
        </w:rPr>
        <w:t xml:space="preserve">, </w:t>
      </w:r>
      <w:r w:rsidRPr="00F51569">
        <w:rPr>
          <w:rFonts w:ascii="Calibri" w:eastAsia="Times New Roman" w:hAnsi="Calibri" w:cs="Calibri"/>
          <w:i/>
          <w:iCs/>
          <w:kern w:val="0"/>
          <w:lang w:eastAsia="en-KE"/>
          <w14:ligatures w14:val="none"/>
        </w:rPr>
        <w:t>an ‘entrepreneurial-regulatory’ state is required to support local capabilities”</w:t>
      </w:r>
      <w:sdt>
        <w:sdtPr>
          <w:rPr>
            <w:rFonts w:ascii="Calibri" w:eastAsia="Times New Roman" w:hAnsi="Calibri" w:cs="Calibri"/>
            <w:i/>
            <w:iCs/>
            <w:kern w:val="0"/>
            <w:lang w:eastAsia="en-KE"/>
            <w14:ligatures w14:val="none"/>
          </w:rPr>
          <w:id w:val="648406746"/>
          <w:citation/>
        </w:sdtPr>
        <w:sdtContent>
          <w:r w:rsidR="000C07F2" w:rsidRPr="00F51569">
            <w:rPr>
              <w:rFonts w:ascii="Calibri" w:eastAsia="Times New Roman" w:hAnsi="Calibri" w:cs="Calibri"/>
              <w:i/>
              <w:iCs/>
              <w:kern w:val="0"/>
              <w:lang w:eastAsia="en-KE"/>
              <w14:ligatures w14:val="none"/>
            </w:rPr>
            <w:fldChar w:fldCharType="begin"/>
          </w:r>
          <w:r w:rsidR="000C07F2" w:rsidRPr="00F51569">
            <w:rPr>
              <w:rFonts w:ascii="Calibri" w:eastAsia="Times New Roman" w:hAnsi="Calibri" w:cs="Calibri"/>
              <w:i/>
              <w:iCs/>
              <w:kern w:val="0"/>
              <w:lang w:val="en-US" w:eastAsia="en-KE"/>
              <w14:ligatures w14:val="none"/>
            </w:rPr>
            <w:instrText xml:space="preserve"> CITATION And22 \l 1033 </w:instrText>
          </w:r>
          <w:r w:rsidR="000C07F2" w:rsidRPr="00F51569">
            <w:rPr>
              <w:rFonts w:ascii="Calibri" w:eastAsia="Times New Roman" w:hAnsi="Calibri" w:cs="Calibri"/>
              <w:i/>
              <w:iCs/>
              <w:kern w:val="0"/>
              <w:lang w:eastAsia="en-KE"/>
              <w14:ligatures w14:val="none"/>
            </w:rPr>
            <w:fldChar w:fldCharType="separate"/>
          </w:r>
          <w:r w:rsidR="000C07F2" w:rsidRPr="00F51569">
            <w:rPr>
              <w:rFonts w:ascii="Calibri" w:eastAsia="Times New Roman" w:hAnsi="Calibri" w:cs="Calibri"/>
              <w:i/>
              <w:iCs/>
              <w:noProof/>
              <w:kern w:val="0"/>
              <w:lang w:val="en-US" w:eastAsia="en-KE"/>
              <w14:ligatures w14:val="none"/>
            </w:rPr>
            <w:t xml:space="preserve"> (Andreoni, 2022)</w:t>
          </w:r>
          <w:r w:rsidR="000C07F2" w:rsidRPr="00F51569">
            <w:rPr>
              <w:rFonts w:ascii="Calibri" w:eastAsia="Times New Roman" w:hAnsi="Calibri" w:cs="Calibri"/>
              <w:i/>
              <w:iCs/>
              <w:kern w:val="0"/>
              <w:lang w:eastAsia="en-KE"/>
              <w14:ligatures w14:val="none"/>
            </w:rPr>
            <w:fldChar w:fldCharType="end"/>
          </w:r>
        </w:sdtContent>
      </w:sdt>
      <w:r w:rsidR="006B3E55" w:rsidRPr="00F51569">
        <w:rPr>
          <w:rFonts w:ascii="Calibri" w:eastAsia="Times New Roman" w:hAnsi="Calibri" w:cs="Calibri"/>
          <w:i/>
          <w:iCs/>
          <w:kern w:val="0"/>
          <w:lang w:eastAsia="en-KE"/>
          <w14:ligatures w14:val="none"/>
        </w:rPr>
        <w:t xml:space="preserve">. </w:t>
      </w:r>
      <w:r w:rsidRPr="00F51569">
        <w:rPr>
          <w:rFonts w:ascii="Calibri" w:eastAsia="Times New Roman" w:hAnsi="Calibri" w:cs="Calibri"/>
          <w:i/>
          <w:iCs/>
          <w:kern w:val="0"/>
          <w:lang w:eastAsia="en-KE"/>
          <w14:ligatures w14:val="none"/>
        </w:rPr>
        <w:t>Thus capability-based regulation might require a regulated entity to demonstrate they can restore service within X hours under scenario Y; maintain a backup chain; conduct regular resilience testing; and publicly report key resilience metrics. This contrasts with simply verifying whether certain controls are in place.</w:t>
      </w:r>
    </w:p>
    <w:p w14:paraId="4FA9F032" w14:textId="7174AC10" w:rsidR="00952922" w:rsidRPr="00F51569" w:rsidRDefault="00952922" w:rsidP="00952922">
      <w:pPr>
        <w:spacing w:before="100" w:beforeAutospacing="1" w:after="100" w:afterAutospacing="1" w:line="240" w:lineRule="auto"/>
        <w:jc w:val="both"/>
        <w:rPr>
          <w:rFonts w:ascii="Calibri" w:eastAsia="Times New Roman" w:hAnsi="Calibri" w:cs="Calibri"/>
          <w:i/>
          <w:iCs/>
          <w:kern w:val="0"/>
          <w:lang w:eastAsia="en-KE"/>
          <w14:ligatures w14:val="none"/>
        </w:rPr>
      </w:pPr>
      <w:r w:rsidRPr="00F51569">
        <w:rPr>
          <w:rFonts w:ascii="Calibri" w:eastAsia="Times New Roman" w:hAnsi="Calibri" w:cs="Calibri"/>
          <w:i/>
          <w:iCs/>
          <w:kern w:val="0"/>
          <w:lang w:eastAsia="en-KE"/>
          <w14:ligatures w14:val="none"/>
        </w:rPr>
        <w:t>Need for Adaptive and Continuous Regulatory Models</w:t>
      </w:r>
    </w:p>
    <w:p w14:paraId="05938123" w14:textId="77777777" w:rsidR="00F51569"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Static regulation </w:t>
      </w:r>
      <w:r w:rsidR="00FF0E5D" w:rsidRPr="004C1335">
        <w:rPr>
          <w:rFonts w:ascii="Calibri" w:eastAsia="Times New Roman" w:hAnsi="Calibri" w:cs="Calibri"/>
          <w:kern w:val="0"/>
          <w:lang w:eastAsia="en-KE"/>
          <w14:ligatures w14:val="none"/>
        </w:rPr>
        <w:t>lags</w:t>
      </w:r>
      <w:r w:rsidRPr="004C1335">
        <w:rPr>
          <w:rFonts w:ascii="Calibri" w:eastAsia="Times New Roman" w:hAnsi="Calibri" w:cs="Calibri"/>
          <w:kern w:val="0"/>
          <w:lang w:eastAsia="en-KE"/>
          <w14:ligatures w14:val="none"/>
        </w:rPr>
        <w:t xml:space="preserve"> the pace of digital transformation, threat evolution and infrastructure change. Effective resilience governance demands regulatory models that are adaptive, iterative and continuously learning. </w:t>
      </w:r>
    </w:p>
    <w:p w14:paraId="0735B606" w14:textId="6AB089AF" w:rsidR="00952922" w:rsidRPr="004C1335"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The OECD’s “Innovative Capacity Framework” notes the institutional need for</w:t>
      </w:r>
      <w:r w:rsidR="0027365B" w:rsidRPr="004C1335">
        <w:rPr>
          <w:rFonts w:ascii="Calibri" w:eastAsia="Times New Roman" w:hAnsi="Calibri" w:cs="Calibri"/>
          <w:kern w:val="0"/>
          <w:lang w:eastAsia="en-KE"/>
          <w14:ligatures w14:val="none"/>
        </w:rPr>
        <w:t xml:space="preserve"> f</w:t>
      </w:r>
      <w:r w:rsidRPr="004C1335">
        <w:rPr>
          <w:rFonts w:ascii="Calibri" w:eastAsia="Times New Roman" w:hAnsi="Calibri" w:cs="Calibri"/>
          <w:kern w:val="0"/>
          <w:lang w:eastAsia="en-KE"/>
          <w14:ligatures w14:val="none"/>
        </w:rPr>
        <w:t>lexibility of rules and agile processes which allow for experimentation</w:t>
      </w:r>
      <w:r w:rsidR="00596503" w:rsidRPr="004C1335">
        <w:rPr>
          <w:rFonts w:ascii="Calibri" w:eastAsia="Times New Roman" w:hAnsi="Calibri" w:cs="Calibri"/>
          <w:kern w:val="0"/>
          <w:lang w:eastAsia="en-KE"/>
          <w14:ligatures w14:val="none"/>
        </w:rPr>
        <w:t xml:space="preserve"> and</w:t>
      </w:r>
      <w:r w:rsidRPr="004C1335">
        <w:rPr>
          <w:rFonts w:ascii="Calibri" w:eastAsia="Times New Roman" w:hAnsi="Calibri" w:cs="Calibri"/>
          <w:kern w:val="0"/>
          <w:lang w:eastAsia="en-KE"/>
          <w14:ligatures w14:val="none"/>
        </w:rPr>
        <w:t xml:space="preserve"> policy-making approaches</w:t>
      </w:r>
      <w:r w:rsidR="00596503" w:rsidRPr="004C1335">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which are open to input from citizens and civil society.”</w:t>
      </w:r>
      <w:r w:rsidR="00596503" w:rsidRPr="004C1335">
        <w:rPr>
          <w:rFonts w:ascii="Calibri" w:eastAsia="Times New Roman" w:hAnsi="Calibri" w:cs="Calibri"/>
          <w:kern w:val="0"/>
          <w:lang w:eastAsia="en-KE"/>
          <w14:ligatures w14:val="none"/>
        </w:rPr>
        <w:t xml:space="preserve"> </w:t>
      </w:r>
      <w:proofErr w:type="gramStart"/>
      <w:r w:rsidRPr="004C1335">
        <w:rPr>
          <w:rFonts w:ascii="Calibri" w:eastAsia="Times New Roman" w:hAnsi="Calibri" w:cs="Calibri"/>
          <w:kern w:val="0"/>
          <w:lang w:eastAsia="en-KE"/>
          <w14:ligatures w14:val="none"/>
        </w:rPr>
        <w:t>Therefore</w:t>
      </w:r>
      <w:proofErr w:type="gramEnd"/>
      <w:r w:rsidRPr="004C1335">
        <w:rPr>
          <w:rFonts w:ascii="Calibri" w:eastAsia="Times New Roman" w:hAnsi="Calibri" w:cs="Calibri"/>
          <w:kern w:val="0"/>
          <w:lang w:eastAsia="en-KE"/>
          <w14:ligatures w14:val="none"/>
        </w:rPr>
        <w:t xml:space="preserve"> regulators should operate continuous monitoring, scenario-based simulations, regulatory sandboxes for resilience, periodic review of standards and multi-stakeholder consultations. For data systems in Africa, this implies regulators should not only enforce, but also collaborate with industry, academia and operators to revise resilience standards, adapt to emerging risks (cloud-migration, multi-cloud, supply-chain), and update regulatory expectations accordingly.</w:t>
      </w:r>
    </w:p>
    <w:p w14:paraId="3294C13F" w14:textId="3B5E359D" w:rsidR="00952922" w:rsidRPr="00F51569" w:rsidRDefault="00952922" w:rsidP="00952922">
      <w:pPr>
        <w:spacing w:before="100" w:beforeAutospacing="1" w:after="100" w:afterAutospacing="1" w:line="240" w:lineRule="auto"/>
        <w:jc w:val="both"/>
        <w:rPr>
          <w:rFonts w:ascii="Calibri" w:eastAsia="Times New Roman" w:hAnsi="Calibri" w:cs="Calibri"/>
          <w:i/>
          <w:iCs/>
          <w:kern w:val="0"/>
          <w:lang w:eastAsia="en-KE"/>
          <w14:ligatures w14:val="none"/>
        </w:rPr>
      </w:pPr>
      <w:r w:rsidRPr="00F51569">
        <w:rPr>
          <w:rFonts w:ascii="Calibri" w:eastAsia="Times New Roman" w:hAnsi="Calibri" w:cs="Calibri"/>
          <w:i/>
          <w:iCs/>
          <w:kern w:val="0"/>
          <w:lang w:eastAsia="en-KE"/>
          <w14:ligatures w14:val="none"/>
        </w:rPr>
        <w:t>Linking Institutional Integration and Regulatory Innovation</w:t>
      </w:r>
    </w:p>
    <w:p w14:paraId="0FC66927" w14:textId="77777777" w:rsidR="00952922" w:rsidRPr="004C1335"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Governance-level resilience emerges at the intersection of institutional capacity (CERTs, audits, public-private partnerships) and regulatory innovation (capability-based, adaptive governance). A resilient data system ecosystem thus requires:</w:t>
      </w:r>
    </w:p>
    <w:p w14:paraId="49BCB9C9" w14:textId="77777777" w:rsidR="00952922" w:rsidRPr="004C1335" w:rsidRDefault="00952922" w:rsidP="005C4747">
      <w:pPr>
        <w:numPr>
          <w:ilvl w:val="0"/>
          <w:numId w:val="12"/>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An empowered CERT or equivalent national incident-response body with sector-spanning remit and cross-border links.</w:t>
      </w:r>
    </w:p>
    <w:p w14:paraId="68302BD5" w14:textId="77777777" w:rsidR="00952922" w:rsidRPr="004C1335" w:rsidRDefault="00952922" w:rsidP="005C4747">
      <w:pPr>
        <w:numPr>
          <w:ilvl w:val="0"/>
          <w:numId w:val="12"/>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Routine resilience audits that verify performance outcomes (not just controls) and feed regulatory oversight.</w:t>
      </w:r>
    </w:p>
    <w:p w14:paraId="1B0E8617" w14:textId="77777777" w:rsidR="00952922" w:rsidRPr="004C1335" w:rsidRDefault="00952922" w:rsidP="005C4747">
      <w:pPr>
        <w:numPr>
          <w:ilvl w:val="0"/>
          <w:numId w:val="12"/>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Public-private coordination forums and mechanisms for cross-sector and cross-jurisdiction incident-sharing and recovery planning.</w:t>
      </w:r>
    </w:p>
    <w:p w14:paraId="173ACF90" w14:textId="77777777" w:rsidR="00952922" w:rsidRPr="004C1335" w:rsidRDefault="00952922" w:rsidP="005C4747">
      <w:pPr>
        <w:numPr>
          <w:ilvl w:val="0"/>
          <w:numId w:val="12"/>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Regulation that sets measurable resilience obligations (e.g., maximum MTTR, service continuity targets) and requires scenario-based validation.</w:t>
      </w:r>
    </w:p>
    <w:p w14:paraId="46398B6C" w14:textId="77777777" w:rsidR="00952922" w:rsidRPr="004C1335" w:rsidRDefault="00952922" w:rsidP="00952922">
      <w:pPr>
        <w:numPr>
          <w:ilvl w:val="0"/>
          <w:numId w:val="12"/>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Adaptive regulatory frameworks that evolve with infrastructure and threat environment, using feedback loops from live incidents, test outcomes and sectoral innovations.</w:t>
      </w:r>
    </w:p>
    <w:p w14:paraId="28A68C59" w14:textId="3924CE4E" w:rsidR="00952922" w:rsidRPr="00C95B18"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C95B18">
        <w:rPr>
          <w:rFonts w:ascii="Calibri" w:eastAsia="Times New Roman" w:hAnsi="Calibri" w:cs="Calibri"/>
          <w:kern w:val="0"/>
          <w:lang w:eastAsia="en-KE"/>
          <w14:ligatures w14:val="none"/>
        </w:rPr>
        <w:t>Implications for African Data Systems</w:t>
      </w:r>
    </w:p>
    <w:p w14:paraId="1862EB35" w14:textId="77777777" w:rsidR="00952922" w:rsidRPr="004C1335"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In African contexts, governance-level resilience must consider specific challenges: infrastructure fragility (power, connectivity), diversified service providers (public/private), cross-border data flows and multi-jurisdiction complexity. Applying the above governance model suggests policy actions such as:</w:t>
      </w:r>
    </w:p>
    <w:p w14:paraId="25E5FE90" w14:textId="77777777" w:rsidR="00952922" w:rsidRPr="004C1335" w:rsidRDefault="00952922" w:rsidP="00C95B18">
      <w:pPr>
        <w:numPr>
          <w:ilvl w:val="0"/>
          <w:numId w:val="13"/>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Strengthen or establish national CERTs with dedicated capacity and budgets; link to regional incident-response networks.</w:t>
      </w:r>
    </w:p>
    <w:p w14:paraId="03639788" w14:textId="77777777" w:rsidR="00952922" w:rsidRPr="004C1335" w:rsidRDefault="00952922" w:rsidP="00C95B18">
      <w:pPr>
        <w:numPr>
          <w:ilvl w:val="0"/>
          <w:numId w:val="13"/>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Require a “resilience audit” certificate for data-controllers/processors, perhaps via the national data protection regulator or sector regulator.</w:t>
      </w:r>
    </w:p>
    <w:p w14:paraId="1EB8FF3F" w14:textId="77777777" w:rsidR="00952922" w:rsidRPr="004C1335" w:rsidRDefault="00952922" w:rsidP="00C95B18">
      <w:pPr>
        <w:numPr>
          <w:ilvl w:val="0"/>
          <w:numId w:val="13"/>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Establish sectoral resilience coordination bodies (e.g., between ICT, finance, health) and cross-border data-system incident-forums (e.g., East African Community resilience network).</w:t>
      </w:r>
    </w:p>
    <w:p w14:paraId="3A24C843" w14:textId="77777777" w:rsidR="00952922" w:rsidRPr="004C1335" w:rsidRDefault="00952922" w:rsidP="00C95B18">
      <w:pPr>
        <w:numPr>
          <w:ilvl w:val="0"/>
          <w:numId w:val="13"/>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Update data-protection laws and cyber-security frameworks to include measurable resilience obligations, scenario testing mandates and adaptive compliance cycles.</w:t>
      </w:r>
    </w:p>
    <w:p w14:paraId="30238AE8" w14:textId="77777777" w:rsidR="00952922" w:rsidRPr="004C1335" w:rsidRDefault="00952922" w:rsidP="00C95B18">
      <w:pPr>
        <w:numPr>
          <w:ilvl w:val="0"/>
          <w:numId w:val="13"/>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Engage private-sector operators in resilience planning via PPPs and funding/incentive mechanisms to support investment in redundancy, multi-cloud backup and recovery infrastructure.</w:t>
      </w:r>
    </w:p>
    <w:p w14:paraId="09E08ADA" w14:textId="17C9E2CF" w:rsidR="00952922" w:rsidRPr="004C1335" w:rsidRDefault="00952922" w:rsidP="00952922">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lastRenderedPageBreak/>
        <w:t>Governance-level resilience ensures that the design and operational resilience layers are reinforced by institutional, regulatory and coordination frameworks. By embedding CERT-led incident coordination, resilience audits, cross-sector/ cross-border partnerships and evolving regulatory models, data systems become not only technically robust but institutionally sustainable. The next section will present the tiered adoption roadmap, balancing high-tech and low-cost practices to reflect diverse African capacities.</w:t>
      </w:r>
    </w:p>
    <w:p w14:paraId="725E86E1" w14:textId="1FCDF90A" w:rsidR="00C527D5" w:rsidRPr="00BC458C" w:rsidRDefault="00BC458C" w:rsidP="00BC458C">
      <w:pPr>
        <w:pStyle w:val="Heading1"/>
        <w:jc w:val="center"/>
        <w:rPr>
          <w:rFonts w:eastAsia="Times New Roman"/>
          <w:sz w:val="32"/>
          <w:szCs w:val="32"/>
          <w:lang w:eastAsia="en-KE"/>
        </w:rPr>
      </w:pPr>
      <w:bookmarkStart w:id="19" w:name="_Toc213772621"/>
      <w:r w:rsidRPr="00BC458C">
        <w:rPr>
          <w:rFonts w:eastAsia="Times New Roman"/>
          <w:sz w:val="32"/>
          <w:szCs w:val="32"/>
          <w:lang w:eastAsia="en-KE"/>
        </w:rPr>
        <w:t>A TIERED ADOPTION ROADMAP</w:t>
      </w:r>
      <w:bookmarkEnd w:id="19"/>
    </w:p>
    <w:p w14:paraId="2F6967E4" w14:textId="451825F2" w:rsidR="00C527D5" w:rsidRPr="005C1F77" w:rsidRDefault="00C527D5" w:rsidP="005C1F77">
      <w:pPr>
        <w:pStyle w:val="Heading2"/>
        <w:jc w:val="center"/>
        <w:rPr>
          <w:rFonts w:eastAsia="Times New Roman"/>
          <w:sz w:val="28"/>
          <w:szCs w:val="28"/>
          <w:lang w:eastAsia="en-KE"/>
        </w:rPr>
      </w:pPr>
      <w:bookmarkStart w:id="20" w:name="_Toc213772622"/>
      <w:r w:rsidRPr="005C1F77">
        <w:rPr>
          <w:rFonts w:eastAsia="Times New Roman"/>
          <w:sz w:val="28"/>
          <w:szCs w:val="28"/>
          <w:lang w:eastAsia="en-KE"/>
        </w:rPr>
        <w:t>Purpose and Context</w:t>
      </w:r>
      <w:bookmarkEnd w:id="20"/>
    </w:p>
    <w:p w14:paraId="79C35CEF" w14:textId="10B50B6B" w:rsidR="00C527D5" w:rsidRPr="004C1335"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Africa’s digital ecosystem is highly heterogeneous: countries, organisations and sectors differ greatly in their infrastructure maturity, regulatory capacity and investment resources. Recognising this, a one-size-fits-all resilience strategy risks leaving many actors behind. To ensure broad uptake of the Resilience-by-Design paradigm, this section presents a tiered adoption roadmap that accommodates incremental progression from foundational practices to advanced, AI-enabled resilience systems. By structuring adoption across three tiers</w:t>
      </w:r>
      <w:r w:rsidR="00127440" w:rsidRPr="004C1335">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Tier I (Foundational), Tier II (Intermediate) and Tier III (Advanced)</w:t>
      </w:r>
      <w:r w:rsidR="00127440" w:rsidRPr="004C1335">
        <w:rPr>
          <w:rFonts w:ascii="Calibri" w:eastAsia="Times New Roman" w:hAnsi="Calibri" w:cs="Calibri"/>
          <w:kern w:val="0"/>
          <w:lang w:eastAsia="en-KE"/>
          <w14:ligatures w14:val="none"/>
        </w:rPr>
        <w:t>,</w:t>
      </w:r>
      <w:r w:rsidRPr="004C1335">
        <w:rPr>
          <w:rFonts w:ascii="Calibri" w:eastAsia="Times New Roman" w:hAnsi="Calibri" w:cs="Calibri"/>
          <w:kern w:val="0"/>
          <w:lang w:eastAsia="en-KE"/>
          <w14:ligatures w14:val="none"/>
        </w:rPr>
        <w:t xml:space="preserve"> data system operators, regulators and policymakers can prioritise interventions that match existing capacities and then scale up.</w:t>
      </w:r>
    </w:p>
    <w:p w14:paraId="0DF84CD1" w14:textId="5F0A8C84" w:rsidR="005C1F77" w:rsidRPr="005C1F77" w:rsidRDefault="005C1F77" w:rsidP="005C1F77">
      <w:pPr>
        <w:pStyle w:val="Heading2"/>
        <w:jc w:val="center"/>
        <w:rPr>
          <w:rFonts w:eastAsia="Times New Roman"/>
          <w:sz w:val="28"/>
          <w:szCs w:val="28"/>
          <w:lang w:eastAsia="en-KE"/>
        </w:rPr>
      </w:pPr>
      <w:bookmarkStart w:id="21" w:name="_Toc213772623"/>
      <w:r w:rsidRPr="005C1F77">
        <w:rPr>
          <w:rFonts w:eastAsia="Times New Roman"/>
          <w:sz w:val="28"/>
          <w:szCs w:val="28"/>
          <w:lang w:eastAsia="en-KE"/>
        </w:rPr>
        <w:t>Tiers</w:t>
      </w:r>
      <w:bookmarkEnd w:id="21"/>
    </w:p>
    <w:p w14:paraId="56D12520" w14:textId="1EBE84C5" w:rsidR="00C527D5" w:rsidRPr="00932CA0" w:rsidRDefault="00C527D5" w:rsidP="00C527D5">
      <w:pPr>
        <w:spacing w:before="100" w:beforeAutospacing="1" w:after="100" w:afterAutospacing="1" w:line="240" w:lineRule="auto"/>
        <w:jc w:val="both"/>
        <w:rPr>
          <w:rFonts w:ascii="Calibri" w:eastAsia="Times New Roman" w:hAnsi="Calibri" w:cs="Calibri"/>
          <w:i/>
          <w:iCs/>
          <w:kern w:val="0"/>
          <w:lang w:eastAsia="en-KE"/>
          <w14:ligatures w14:val="none"/>
        </w:rPr>
      </w:pPr>
      <w:r w:rsidRPr="00932CA0">
        <w:rPr>
          <w:rFonts w:ascii="Calibri" w:eastAsia="Times New Roman" w:hAnsi="Calibri" w:cs="Calibri"/>
          <w:i/>
          <w:iCs/>
          <w:kern w:val="0"/>
          <w:lang w:eastAsia="en-KE"/>
          <w14:ligatures w14:val="none"/>
        </w:rPr>
        <w:t>Tier I: Foundational Resilience Practices</w:t>
      </w:r>
    </w:p>
    <w:p w14:paraId="13A27F13" w14:textId="3B0C6D4A" w:rsidR="00D25430" w:rsidRPr="00C95B18"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C95B18">
        <w:rPr>
          <w:rFonts w:ascii="Calibri" w:eastAsia="Times New Roman" w:hAnsi="Calibri" w:cs="Calibri"/>
          <w:kern w:val="0"/>
          <w:lang w:eastAsia="en-KE"/>
          <w14:ligatures w14:val="none"/>
        </w:rPr>
        <w:t>Target Audience: Organisations and jurisdictions with limited infrastructure, nascent regulatory regimes, limited funding or constrained human resources.</w:t>
      </w:r>
      <w:r w:rsidRPr="00C95B18">
        <w:rPr>
          <w:rFonts w:ascii="Calibri" w:eastAsia="Times New Roman" w:hAnsi="Calibri" w:cs="Calibri"/>
          <w:kern w:val="0"/>
          <w:lang w:eastAsia="en-KE"/>
          <w14:ligatures w14:val="none"/>
        </w:rPr>
        <w:br/>
        <w:t>Key Objectives: Build operational continuity, embed essential resilience practices and minimise single points of failure with cost-effective measures.</w:t>
      </w:r>
    </w:p>
    <w:p w14:paraId="3BA6AF40" w14:textId="77777777" w:rsidR="00C527D5" w:rsidRPr="00C95B18"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C95B18">
        <w:rPr>
          <w:rFonts w:ascii="Calibri" w:eastAsia="Times New Roman" w:hAnsi="Calibri" w:cs="Calibri"/>
          <w:kern w:val="0"/>
          <w:lang w:eastAsia="en-KE"/>
          <w14:ligatures w14:val="none"/>
        </w:rPr>
        <w:t>Core Practices:</w:t>
      </w:r>
    </w:p>
    <w:p w14:paraId="049DF40F" w14:textId="77777777" w:rsidR="00C527D5" w:rsidRPr="004C1335" w:rsidRDefault="00C527D5" w:rsidP="00C95B18">
      <w:pPr>
        <w:numPr>
          <w:ilvl w:val="0"/>
          <w:numId w:val="14"/>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Conduct baseline resilience assessments: map critical data systems, single points of failure, and dependencies (power, network, cloud).</w:t>
      </w:r>
    </w:p>
    <w:p w14:paraId="3AA893B4" w14:textId="77777777" w:rsidR="00C527D5" w:rsidRPr="004C1335" w:rsidRDefault="00C527D5" w:rsidP="00C95B18">
      <w:pPr>
        <w:numPr>
          <w:ilvl w:val="0"/>
          <w:numId w:val="14"/>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Implement essential redundancy: e.g., a basic “1+1” backup server, offline backups or simple fail-over design.</w:t>
      </w:r>
    </w:p>
    <w:p w14:paraId="70373954" w14:textId="77777777" w:rsidR="00C527D5" w:rsidRPr="004C1335" w:rsidRDefault="00C527D5" w:rsidP="00C95B18">
      <w:pPr>
        <w:numPr>
          <w:ilvl w:val="0"/>
          <w:numId w:val="14"/>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Establish incident response playbook: define roles, communication channels and minimal recovery steps.</w:t>
      </w:r>
    </w:p>
    <w:p w14:paraId="119F3CA9" w14:textId="002A4CBD" w:rsidR="00C527D5" w:rsidRPr="004C1335" w:rsidRDefault="00C527D5" w:rsidP="00C95B18">
      <w:pPr>
        <w:numPr>
          <w:ilvl w:val="0"/>
          <w:numId w:val="14"/>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Use hybrid cloud or regional cloud backup to the extent possible</w:t>
      </w:r>
      <w:r w:rsidR="00443496">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For SMEs in Africa</w:t>
      </w:r>
      <w:r w:rsidR="00443496">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cloud adoption means accessing enterprise-grade security systems without the need for expensive in-house infrastructure.</w:t>
      </w:r>
    </w:p>
    <w:p w14:paraId="24E6DDA9" w14:textId="77777777" w:rsidR="00C527D5" w:rsidRDefault="00C527D5" w:rsidP="00C95B18">
      <w:pPr>
        <w:numPr>
          <w:ilvl w:val="0"/>
          <w:numId w:val="14"/>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Regulatory and governance alignment: integrate data protection by design clauses into procurement and vendor contracts; leverage regulator guidance to raise awareness of resilience importance.</w:t>
      </w:r>
    </w:p>
    <w:p w14:paraId="5BCA0247" w14:textId="4EF50876" w:rsidR="00CA0366" w:rsidRPr="00705C99" w:rsidRDefault="00705C99" w:rsidP="00705C99">
      <w:pPr>
        <w:spacing w:before="100" w:beforeAutospacing="1" w:after="100" w:afterAutospacing="1" w:line="240" w:lineRule="auto"/>
        <w:ind w:left="360"/>
        <w:jc w:val="center"/>
        <w:rPr>
          <w:rFonts w:ascii="Calibri" w:eastAsia="Times New Roman" w:hAnsi="Calibri" w:cs="Calibri"/>
          <w:i/>
          <w:iCs/>
          <w:kern w:val="0"/>
          <w:lang w:eastAsia="en-KE"/>
          <w14:ligatures w14:val="none"/>
        </w:rPr>
      </w:pPr>
      <w:r w:rsidRPr="00705C99">
        <w:rPr>
          <w:rFonts w:ascii="Calibri" w:eastAsia="Times New Roman" w:hAnsi="Calibri" w:cs="Calibri"/>
          <w:i/>
          <w:iCs/>
          <w:kern w:val="0"/>
          <w:lang w:eastAsia="en-KE"/>
          <w14:ligatures w14:val="none"/>
        </w:rPr>
        <w:lastRenderedPageBreak/>
        <w:t>Diagram illustrating Tier 1 adoption</w:t>
      </w:r>
    </w:p>
    <w:p w14:paraId="5D4DA906" w14:textId="295286E3" w:rsidR="00D25430" w:rsidRPr="00CA0366" w:rsidRDefault="00932CA0" w:rsidP="00CA0366">
      <w:pPr>
        <w:spacing w:before="100" w:beforeAutospacing="1" w:after="100" w:afterAutospacing="1" w:line="240" w:lineRule="auto"/>
        <w:jc w:val="center"/>
        <w:rPr>
          <w:rFonts w:ascii="Calibri" w:eastAsia="Times New Roman" w:hAnsi="Calibri" w:cs="Calibri"/>
          <w:i/>
          <w:iCs/>
          <w:kern w:val="0"/>
          <w:lang w:eastAsia="en-KE"/>
          <w14:ligatures w14:val="none"/>
        </w:rPr>
      </w:pPr>
      <w:r>
        <w:rPr>
          <w:noProof/>
        </w:rPr>
        <w:drawing>
          <wp:inline distT="0" distB="0" distL="0" distR="0" wp14:anchorId="24C652EA" wp14:editId="0E26C103">
            <wp:extent cx="5364000" cy="8286426"/>
            <wp:effectExtent l="0" t="0" r="8255" b="635"/>
            <wp:docPr id="1649970763"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970763" name="Picture 1" descr="A diagram of a company&#10;&#10;AI-generated content may be incorrect."/>
                    <pic:cNvPicPr/>
                  </pic:nvPicPr>
                  <pic:blipFill>
                    <a:blip r:embed="rId15"/>
                    <a:stretch>
                      <a:fillRect/>
                    </a:stretch>
                  </pic:blipFill>
                  <pic:spPr>
                    <a:xfrm>
                      <a:off x="0" y="0"/>
                      <a:ext cx="5364000" cy="8286426"/>
                    </a:xfrm>
                    <a:prstGeom prst="rect">
                      <a:avLst/>
                    </a:prstGeom>
                  </pic:spPr>
                </pic:pic>
              </a:graphicData>
            </a:graphic>
          </wp:inline>
        </w:drawing>
      </w:r>
    </w:p>
    <w:p w14:paraId="29FD0EF6" w14:textId="3FE996E7" w:rsidR="00D25430" w:rsidRDefault="00D25430" w:rsidP="00C527D5">
      <w:pPr>
        <w:spacing w:before="100" w:beforeAutospacing="1" w:after="100" w:afterAutospacing="1" w:line="240" w:lineRule="auto"/>
        <w:jc w:val="both"/>
        <w:rPr>
          <w:rFonts w:ascii="Calibri" w:eastAsia="Times New Roman" w:hAnsi="Calibri" w:cs="Calibri"/>
          <w:kern w:val="0"/>
          <w:lang w:eastAsia="en-KE"/>
          <w14:ligatures w14:val="none"/>
        </w:rPr>
      </w:pPr>
    </w:p>
    <w:p w14:paraId="7F93001C" w14:textId="77777777" w:rsidR="00CA0366" w:rsidRDefault="00CA0366" w:rsidP="00C527D5">
      <w:pPr>
        <w:spacing w:before="100" w:beforeAutospacing="1" w:after="100" w:afterAutospacing="1" w:line="240" w:lineRule="auto"/>
        <w:jc w:val="both"/>
        <w:rPr>
          <w:rFonts w:ascii="Calibri" w:eastAsia="Times New Roman" w:hAnsi="Calibri" w:cs="Calibri"/>
          <w:kern w:val="0"/>
          <w:lang w:eastAsia="en-KE"/>
          <w14:ligatures w14:val="none"/>
        </w:rPr>
      </w:pPr>
    </w:p>
    <w:p w14:paraId="47D2740F" w14:textId="38C52E6E" w:rsidR="00C527D5" w:rsidRPr="00443496"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443496">
        <w:rPr>
          <w:rFonts w:ascii="Calibri" w:eastAsia="Times New Roman" w:hAnsi="Calibri" w:cs="Calibri"/>
          <w:kern w:val="0"/>
          <w:lang w:eastAsia="en-KE"/>
          <w14:ligatures w14:val="none"/>
        </w:rPr>
        <w:t>Expected Outcomes:</w:t>
      </w:r>
    </w:p>
    <w:p w14:paraId="6FBB5137" w14:textId="77777777" w:rsidR="00C527D5" w:rsidRPr="00443496" w:rsidRDefault="00C527D5" w:rsidP="00443496">
      <w:pPr>
        <w:numPr>
          <w:ilvl w:val="0"/>
          <w:numId w:val="15"/>
        </w:numPr>
        <w:spacing w:before="100" w:beforeAutospacing="1" w:after="100" w:afterAutospacing="1" w:line="240" w:lineRule="auto"/>
        <w:jc w:val="both"/>
        <w:rPr>
          <w:rFonts w:ascii="Calibri" w:eastAsia="Times New Roman" w:hAnsi="Calibri" w:cs="Calibri"/>
          <w:kern w:val="0"/>
          <w:lang w:eastAsia="en-KE"/>
          <w14:ligatures w14:val="none"/>
        </w:rPr>
      </w:pPr>
      <w:r w:rsidRPr="00443496">
        <w:rPr>
          <w:rFonts w:ascii="Calibri" w:eastAsia="Times New Roman" w:hAnsi="Calibri" w:cs="Calibri"/>
          <w:kern w:val="0"/>
          <w:lang w:eastAsia="en-KE"/>
          <w14:ligatures w14:val="none"/>
        </w:rPr>
        <w:t>Reduced vulnerability to isolated outages (e.g., power cut or network failure).</w:t>
      </w:r>
    </w:p>
    <w:p w14:paraId="0027AF28" w14:textId="77777777" w:rsidR="00C527D5" w:rsidRPr="00443496" w:rsidRDefault="00C527D5" w:rsidP="00443496">
      <w:pPr>
        <w:numPr>
          <w:ilvl w:val="0"/>
          <w:numId w:val="15"/>
        </w:numPr>
        <w:spacing w:before="100" w:beforeAutospacing="1" w:after="100" w:afterAutospacing="1" w:line="240" w:lineRule="auto"/>
        <w:jc w:val="both"/>
        <w:rPr>
          <w:rFonts w:ascii="Calibri" w:eastAsia="Times New Roman" w:hAnsi="Calibri" w:cs="Calibri"/>
          <w:kern w:val="0"/>
          <w:lang w:eastAsia="en-KE"/>
          <w14:ligatures w14:val="none"/>
        </w:rPr>
      </w:pPr>
      <w:r w:rsidRPr="00443496">
        <w:rPr>
          <w:rFonts w:ascii="Calibri" w:eastAsia="Times New Roman" w:hAnsi="Calibri" w:cs="Calibri"/>
          <w:kern w:val="0"/>
          <w:lang w:eastAsia="en-KE"/>
          <w14:ligatures w14:val="none"/>
        </w:rPr>
        <w:t>Defined recovery responsibilities and documented procedures.</w:t>
      </w:r>
    </w:p>
    <w:p w14:paraId="0D7754E5" w14:textId="77777777" w:rsidR="00C527D5" w:rsidRPr="00443496" w:rsidRDefault="00C527D5" w:rsidP="00443496">
      <w:pPr>
        <w:numPr>
          <w:ilvl w:val="0"/>
          <w:numId w:val="15"/>
        </w:numPr>
        <w:spacing w:before="100" w:beforeAutospacing="1" w:after="100" w:afterAutospacing="1" w:line="240" w:lineRule="auto"/>
        <w:jc w:val="both"/>
        <w:rPr>
          <w:rFonts w:ascii="Calibri" w:eastAsia="Times New Roman" w:hAnsi="Calibri" w:cs="Calibri"/>
          <w:kern w:val="0"/>
          <w:lang w:eastAsia="en-KE"/>
          <w14:ligatures w14:val="none"/>
        </w:rPr>
      </w:pPr>
      <w:r w:rsidRPr="00443496">
        <w:rPr>
          <w:rFonts w:ascii="Calibri" w:eastAsia="Times New Roman" w:hAnsi="Calibri" w:cs="Calibri"/>
          <w:kern w:val="0"/>
          <w:lang w:eastAsia="en-KE"/>
          <w14:ligatures w14:val="none"/>
        </w:rPr>
        <w:t>Regulatory alignment begins; internal awareness of resilience improves.</w:t>
      </w:r>
    </w:p>
    <w:p w14:paraId="360093FC" w14:textId="4BD7B940" w:rsidR="00C527D5" w:rsidRPr="00705C99" w:rsidRDefault="00C527D5" w:rsidP="00C527D5">
      <w:pPr>
        <w:spacing w:before="100" w:beforeAutospacing="1" w:after="100" w:afterAutospacing="1" w:line="240" w:lineRule="auto"/>
        <w:jc w:val="both"/>
        <w:rPr>
          <w:rFonts w:ascii="Calibri" w:eastAsia="Times New Roman" w:hAnsi="Calibri" w:cs="Calibri"/>
          <w:i/>
          <w:iCs/>
          <w:kern w:val="0"/>
          <w:lang w:eastAsia="en-KE"/>
          <w14:ligatures w14:val="none"/>
        </w:rPr>
      </w:pPr>
      <w:r w:rsidRPr="00705C99">
        <w:rPr>
          <w:rFonts w:ascii="Calibri" w:eastAsia="Times New Roman" w:hAnsi="Calibri" w:cs="Calibri"/>
          <w:i/>
          <w:iCs/>
          <w:kern w:val="0"/>
          <w:lang w:eastAsia="en-KE"/>
          <w14:ligatures w14:val="none"/>
        </w:rPr>
        <w:t>Tier II: Intermediate Resilience Systems</w:t>
      </w:r>
    </w:p>
    <w:p w14:paraId="4F39F4A2" w14:textId="26F44EB0" w:rsidR="00C527D5" w:rsidRPr="00443496" w:rsidRDefault="00C527D5" w:rsidP="00443496">
      <w:pPr>
        <w:spacing w:before="100" w:beforeAutospacing="1" w:after="0" w:line="240" w:lineRule="auto"/>
        <w:jc w:val="both"/>
        <w:rPr>
          <w:rFonts w:ascii="Calibri" w:eastAsia="Times New Roman" w:hAnsi="Calibri" w:cs="Calibri"/>
          <w:kern w:val="0"/>
          <w:lang w:eastAsia="en-KE"/>
          <w14:ligatures w14:val="none"/>
        </w:rPr>
      </w:pPr>
      <w:r w:rsidRPr="00443496">
        <w:rPr>
          <w:rFonts w:ascii="Calibri" w:eastAsia="Times New Roman" w:hAnsi="Calibri" w:cs="Calibri"/>
          <w:kern w:val="0"/>
          <w:lang w:eastAsia="en-KE"/>
          <w14:ligatures w14:val="none"/>
        </w:rPr>
        <w:t>Target Audience: Organisations with moderate infrastructure, existing cloud adoption, some regulatory oversight and moderate budgets.</w:t>
      </w:r>
      <w:r w:rsidR="00443496">
        <w:rPr>
          <w:rFonts w:ascii="Calibri" w:eastAsia="Times New Roman" w:hAnsi="Calibri" w:cs="Calibri"/>
          <w:kern w:val="0"/>
          <w:lang w:eastAsia="en-KE"/>
          <w14:ligatures w14:val="none"/>
        </w:rPr>
        <w:t xml:space="preserve"> </w:t>
      </w:r>
      <w:r w:rsidRPr="00443496">
        <w:rPr>
          <w:rFonts w:ascii="Calibri" w:eastAsia="Times New Roman" w:hAnsi="Calibri" w:cs="Calibri"/>
          <w:kern w:val="0"/>
          <w:lang w:eastAsia="en-KE"/>
          <w14:ligatures w14:val="none"/>
        </w:rPr>
        <w:t>Key Objectives: Strengthen design and operational layers of resilience, introduce redundancy across regions, begin measurable metric tracking and testing programs.</w:t>
      </w:r>
    </w:p>
    <w:p w14:paraId="7D6ABED8" w14:textId="77777777" w:rsidR="00C527D5" w:rsidRPr="00443496"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443496">
        <w:rPr>
          <w:rFonts w:ascii="Calibri" w:eastAsia="Times New Roman" w:hAnsi="Calibri" w:cs="Calibri"/>
          <w:kern w:val="0"/>
          <w:lang w:eastAsia="en-KE"/>
          <w14:ligatures w14:val="none"/>
        </w:rPr>
        <w:t>Core Practices:</w:t>
      </w:r>
    </w:p>
    <w:p w14:paraId="03285610" w14:textId="77777777" w:rsidR="00C527D5" w:rsidRPr="004C1335" w:rsidRDefault="00C527D5" w:rsidP="00443496">
      <w:pPr>
        <w:numPr>
          <w:ilvl w:val="0"/>
          <w:numId w:val="16"/>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Adopt multi-cloud redundancy: deploy workloads across multiple availability zones or providers; architecture accounts for provider / region failure.</w:t>
      </w:r>
    </w:p>
    <w:p w14:paraId="3D7A6560" w14:textId="77777777" w:rsidR="00C527D5" w:rsidRPr="004C1335" w:rsidRDefault="00C527D5" w:rsidP="00443496">
      <w:pPr>
        <w:numPr>
          <w:ilvl w:val="0"/>
          <w:numId w:val="16"/>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Start tracking key metrics: mean time to recover (MTTR), service continuity thresholds (e.g., 99 % throughput under degraded mode), data integrity loss (DIL) benchmarks.</w:t>
      </w:r>
    </w:p>
    <w:p w14:paraId="1B8FEB3F" w14:textId="77777777" w:rsidR="00C527D5" w:rsidRPr="004C1335" w:rsidRDefault="00C527D5" w:rsidP="00443496">
      <w:pPr>
        <w:numPr>
          <w:ilvl w:val="0"/>
          <w:numId w:val="16"/>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Undertake resilience testing: execute chaos engineering experiments and adversarial simulations on selected critical services.</w:t>
      </w:r>
    </w:p>
    <w:p w14:paraId="7B40926B" w14:textId="77777777" w:rsidR="00C527D5" w:rsidRPr="004C1335" w:rsidRDefault="00C527D5" w:rsidP="00443496">
      <w:pPr>
        <w:numPr>
          <w:ilvl w:val="0"/>
          <w:numId w:val="16"/>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Enhance incident response via automation: use scripted recovery playbooks and semi-automated fail-over workflows.</w:t>
      </w:r>
    </w:p>
    <w:p w14:paraId="773E1E76" w14:textId="77777777" w:rsidR="00C527D5" w:rsidRPr="004C1335" w:rsidRDefault="00C527D5" w:rsidP="00C527D5">
      <w:pPr>
        <w:numPr>
          <w:ilvl w:val="0"/>
          <w:numId w:val="16"/>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Governance upgrade: introduce routine resilience audits into compliance regimes; engage sector regulators to align continuity thresholds with </w:t>
      </w:r>
      <w:proofErr w:type="gramStart"/>
      <w:r w:rsidRPr="004C1335">
        <w:rPr>
          <w:rFonts w:ascii="Calibri" w:eastAsia="Times New Roman" w:hAnsi="Calibri" w:cs="Calibri"/>
          <w:kern w:val="0"/>
          <w:lang w:eastAsia="en-KE"/>
          <w14:ligatures w14:val="none"/>
        </w:rPr>
        <w:t>business critical</w:t>
      </w:r>
      <w:proofErr w:type="gramEnd"/>
      <w:r w:rsidRPr="004C1335">
        <w:rPr>
          <w:rFonts w:ascii="Calibri" w:eastAsia="Times New Roman" w:hAnsi="Calibri" w:cs="Calibri"/>
          <w:kern w:val="0"/>
          <w:lang w:eastAsia="en-KE"/>
          <w14:ligatures w14:val="none"/>
        </w:rPr>
        <w:t xml:space="preserve"> services.</w:t>
      </w:r>
    </w:p>
    <w:p w14:paraId="1BED3819" w14:textId="77777777" w:rsidR="00E26782" w:rsidRPr="00443496"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443496">
        <w:rPr>
          <w:rFonts w:ascii="Calibri" w:eastAsia="Times New Roman" w:hAnsi="Calibri" w:cs="Calibri"/>
          <w:kern w:val="0"/>
          <w:lang w:eastAsia="en-KE"/>
          <w14:ligatures w14:val="none"/>
        </w:rPr>
        <w:t>Supporting Evidence:</w:t>
      </w:r>
    </w:p>
    <w:p w14:paraId="23C5F71F" w14:textId="4EDA092E" w:rsidR="00BC1F05"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The three-tier model of digital readiness in Africa suggests that countries and organisations sit on different maturity levels and therefore a tiered roadmap is appropriate for incremental adoption. Also, cloud adoption strategies highlight that connectivity, regulatory frameworks and infrastructure vary substantially across Africa, reinforcing the need for staged adoption.</w:t>
      </w:r>
    </w:p>
    <w:p w14:paraId="5DA54D1E" w14:textId="68EB3E67" w:rsidR="00C527D5" w:rsidRPr="002C3369"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2C3369">
        <w:rPr>
          <w:rFonts w:ascii="Calibri" w:eastAsia="Times New Roman" w:hAnsi="Calibri" w:cs="Calibri"/>
          <w:kern w:val="0"/>
          <w:lang w:eastAsia="en-KE"/>
          <w14:ligatures w14:val="none"/>
        </w:rPr>
        <w:t>Expected Outcomes:</w:t>
      </w:r>
    </w:p>
    <w:p w14:paraId="298C5B8E" w14:textId="77777777" w:rsidR="00C527D5" w:rsidRPr="004C1335" w:rsidRDefault="00C527D5" w:rsidP="002C3369">
      <w:pPr>
        <w:numPr>
          <w:ilvl w:val="0"/>
          <w:numId w:val="17"/>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Noticeable improvements in system recoverability and continuity under partial failures.</w:t>
      </w:r>
    </w:p>
    <w:p w14:paraId="08A12065" w14:textId="77777777" w:rsidR="00C527D5" w:rsidRPr="004C1335" w:rsidRDefault="00C527D5" w:rsidP="002C3369">
      <w:pPr>
        <w:numPr>
          <w:ilvl w:val="0"/>
          <w:numId w:val="17"/>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Operational resilience becomes measurable and auditable.</w:t>
      </w:r>
    </w:p>
    <w:p w14:paraId="286472F2" w14:textId="77777777" w:rsidR="00C527D5" w:rsidRDefault="00C527D5" w:rsidP="002C3369">
      <w:pPr>
        <w:numPr>
          <w:ilvl w:val="0"/>
          <w:numId w:val="17"/>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Organisations build confidence, regulators begin enforcing resilience as part of oversight.</w:t>
      </w:r>
    </w:p>
    <w:p w14:paraId="347695FC" w14:textId="47750B6F" w:rsidR="00895E50" w:rsidRPr="00AF7D57" w:rsidRDefault="00AF7D57" w:rsidP="00AF7D57">
      <w:pPr>
        <w:spacing w:before="100" w:beforeAutospacing="1" w:after="100" w:afterAutospacing="1" w:line="240" w:lineRule="auto"/>
        <w:jc w:val="center"/>
        <w:rPr>
          <w:rFonts w:ascii="Calibri" w:eastAsia="Times New Roman" w:hAnsi="Calibri" w:cs="Calibri"/>
          <w:i/>
          <w:iCs/>
          <w:kern w:val="0"/>
          <w:lang w:eastAsia="en-KE"/>
          <w14:ligatures w14:val="none"/>
        </w:rPr>
      </w:pPr>
      <w:r>
        <w:rPr>
          <w:rFonts w:ascii="Calibri" w:eastAsia="Times New Roman" w:hAnsi="Calibri" w:cs="Calibri"/>
          <w:i/>
          <w:iCs/>
          <w:kern w:val="0"/>
          <w:lang w:eastAsia="en-KE"/>
          <w14:ligatures w14:val="none"/>
        </w:rPr>
        <w:lastRenderedPageBreak/>
        <w:t>Diagram illustrating</w:t>
      </w:r>
      <w:r w:rsidRPr="002547DB">
        <w:rPr>
          <w:rFonts w:ascii="Calibri" w:eastAsia="Times New Roman" w:hAnsi="Calibri" w:cs="Calibri"/>
          <w:i/>
          <w:iCs/>
          <w:kern w:val="0"/>
          <w:lang w:eastAsia="en-KE"/>
          <w14:ligatures w14:val="none"/>
        </w:rPr>
        <w:t xml:space="preserve"> of Tier II</w:t>
      </w:r>
      <w:r>
        <w:rPr>
          <w:rFonts w:ascii="Calibri" w:eastAsia="Times New Roman" w:hAnsi="Calibri" w:cs="Calibri"/>
          <w:i/>
          <w:iCs/>
          <w:kern w:val="0"/>
          <w:lang w:eastAsia="en-KE"/>
          <w14:ligatures w14:val="none"/>
        </w:rPr>
        <w:t xml:space="preserve"> </w:t>
      </w:r>
      <w:proofErr w:type="spellStart"/>
      <w:r>
        <w:rPr>
          <w:rFonts w:ascii="Calibri" w:eastAsia="Times New Roman" w:hAnsi="Calibri" w:cs="Calibri"/>
          <w:i/>
          <w:iCs/>
          <w:kern w:val="0"/>
          <w:lang w:eastAsia="en-KE"/>
          <w14:ligatures w14:val="none"/>
        </w:rPr>
        <w:t>adoptio</w:t>
      </w:r>
      <w:proofErr w:type="spellEnd"/>
    </w:p>
    <w:p w14:paraId="231C93CC" w14:textId="003C8D36" w:rsidR="009A521D" w:rsidRDefault="00895E50" w:rsidP="00895E50">
      <w:pPr>
        <w:spacing w:before="100" w:beforeAutospacing="1" w:after="100" w:afterAutospacing="1" w:line="240" w:lineRule="auto"/>
        <w:ind w:left="720"/>
        <w:jc w:val="both"/>
        <w:rPr>
          <w:rFonts w:ascii="Calibri" w:eastAsia="Times New Roman" w:hAnsi="Calibri" w:cs="Calibri"/>
          <w:kern w:val="0"/>
          <w:lang w:eastAsia="en-KE"/>
          <w14:ligatures w14:val="none"/>
        </w:rPr>
      </w:pPr>
      <w:r>
        <w:rPr>
          <w:noProof/>
        </w:rPr>
        <w:drawing>
          <wp:inline distT="0" distB="0" distL="0" distR="0" wp14:anchorId="57D26B39" wp14:editId="3E685F92">
            <wp:extent cx="5166230" cy="8496000"/>
            <wp:effectExtent l="0" t="0" r="0" b="635"/>
            <wp:docPr id="111428581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285810" name="Picture 1" descr="A screenshot of a computer&#10;&#10;AI-generated content may be incorrect."/>
                    <pic:cNvPicPr/>
                  </pic:nvPicPr>
                  <pic:blipFill>
                    <a:blip r:embed="rId16"/>
                    <a:stretch>
                      <a:fillRect/>
                    </a:stretch>
                  </pic:blipFill>
                  <pic:spPr>
                    <a:xfrm>
                      <a:off x="0" y="0"/>
                      <a:ext cx="5166230" cy="8496000"/>
                    </a:xfrm>
                    <a:prstGeom prst="rect">
                      <a:avLst/>
                    </a:prstGeom>
                  </pic:spPr>
                </pic:pic>
              </a:graphicData>
            </a:graphic>
          </wp:inline>
        </w:drawing>
      </w:r>
    </w:p>
    <w:p w14:paraId="1C8C739B" w14:textId="77777777" w:rsidR="00895E50" w:rsidRDefault="00895E50" w:rsidP="00895E50">
      <w:pPr>
        <w:spacing w:before="100" w:beforeAutospacing="1" w:after="100" w:afterAutospacing="1" w:line="240" w:lineRule="auto"/>
        <w:ind w:left="720"/>
        <w:jc w:val="both"/>
        <w:rPr>
          <w:rFonts w:ascii="Calibri" w:eastAsia="Times New Roman" w:hAnsi="Calibri" w:cs="Calibri"/>
          <w:kern w:val="0"/>
          <w:lang w:eastAsia="en-KE"/>
          <w14:ligatures w14:val="none"/>
        </w:rPr>
      </w:pPr>
    </w:p>
    <w:p w14:paraId="309A86DB" w14:textId="70BC4E3D" w:rsidR="00C527D5" w:rsidRPr="006670F5" w:rsidRDefault="00C527D5" w:rsidP="00C527D5">
      <w:pPr>
        <w:spacing w:before="100" w:beforeAutospacing="1" w:after="100" w:afterAutospacing="1" w:line="240" w:lineRule="auto"/>
        <w:jc w:val="both"/>
        <w:rPr>
          <w:rFonts w:ascii="Calibri" w:eastAsia="Times New Roman" w:hAnsi="Calibri" w:cs="Calibri"/>
          <w:i/>
          <w:iCs/>
          <w:kern w:val="0"/>
          <w:lang w:eastAsia="en-KE"/>
          <w14:ligatures w14:val="none"/>
        </w:rPr>
      </w:pPr>
      <w:r w:rsidRPr="006670F5">
        <w:rPr>
          <w:rFonts w:ascii="Calibri" w:eastAsia="Times New Roman" w:hAnsi="Calibri" w:cs="Calibri"/>
          <w:i/>
          <w:iCs/>
          <w:kern w:val="0"/>
          <w:lang w:eastAsia="en-KE"/>
          <w14:ligatures w14:val="none"/>
        </w:rPr>
        <w:t>Tier III: Advanced Resilience and Autonomy</w:t>
      </w:r>
    </w:p>
    <w:p w14:paraId="33344A57" w14:textId="214D1E18" w:rsidR="00C527D5" w:rsidRPr="002C3369"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2C3369">
        <w:rPr>
          <w:rFonts w:ascii="Calibri" w:eastAsia="Times New Roman" w:hAnsi="Calibri" w:cs="Calibri"/>
          <w:kern w:val="0"/>
          <w:lang w:eastAsia="en-KE"/>
          <w14:ligatures w14:val="none"/>
        </w:rPr>
        <w:t>Target Audience: Organisations or jurisdictions with mature infrastructure, integrated cloud/edge ecosystems, advanced regulatory frameworks and commitment to innovation.</w:t>
      </w:r>
      <w:r w:rsidR="002C3369">
        <w:rPr>
          <w:rFonts w:ascii="Calibri" w:eastAsia="Times New Roman" w:hAnsi="Calibri" w:cs="Calibri"/>
          <w:kern w:val="0"/>
          <w:lang w:eastAsia="en-KE"/>
          <w14:ligatures w14:val="none"/>
        </w:rPr>
        <w:t xml:space="preserve"> </w:t>
      </w:r>
      <w:r w:rsidRPr="002C3369">
        <w:rPr>
          <w:rFonts w:ascii="Calibri" w:eastAsia="Times New Roman" w:hAnsi="Calibri" w:cs="Calibri"/>
          <w:kern w:val="0"/>
          <w:lang w:eastAsia="en-KE"/>
          <w14:ligatures w14:val="none"/>
        </w:rPr>
        <w:t>Key Objectives: Achieve near-autonomous resilience, adaptive recovery, AI-enabled monitoring and cross-border/regional coordination.</w:t>
      </w:r>
    </w:p>
    <w:p w14:paraId="7814A9B8" w14:textId="77777777" w:rsidR="00C527D5" w:rsidRPr="002C3369"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2C3369">
        <w:rPr>
          <w:rFonts w:ascii="Calibri" w:eastAsia="Times New Roman" w:hAnsi="Calibri" w:cs="Calibri"/>
          <w:kern w:val="0"/>
          <w:lang w:eastAsia="en-KE"/>
          <w14:ligatures w14:val="none"/>
        </w:rPr>
        <w:t>Core Practices:</w:t>
      </w:r>
    </w:p>
    <w:p w14:paraId="4BBFE7F0" w14:textId="77777777" w:rsidR="00C527D5" w:rsidRPr="004C1335" w:rsidRDefault="00C527D5" w:rsidP="002C3369">
      <w:pPr>
        <w:numPr>
          <w:ilvl w:val="0"/>
          <w:numId w:val="1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Full deployment of zero-trust architecture, fault-tolerant design and immutable data stores as a baseline.</w:t>
      </w:r>
    </w:p>
    <w:p w14:paraId="1C31B1D7" w14:textId="77777777" w:rsidR="00C527D5" w:rsidRPr="004C1335" w:rsidRDefault="00C527D5" w:rsidP="002C3369">
      <w:pPr>
        <w:numPr>
          <w:ilvl w:val="0"/>
          <w:numId w:val="1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Comprehensive tracking and publication of resilience metrics: MTTR, SLA continuity thresholds, DIL, testing coverage, business impact metrics.</w:t>
      </w:r>
    </w:p>
    <w:p w14:paraId="39803BCE" w14:textId="77777777" w:rsidR="00C527D5" w:rsidRPr="004C1335" w:rsidRDefault="00C527D5" w:rsidP="002C3369">
      <w:pPr>
        <w:numPr>
          <w:ilvl w:val="0"/>
          <w:numId w:val="1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Automated recovery playbooks with closed-loop workflows: AI-driven anomaly detection triggers automated fail-over, rollback and alerting.</w:t>
      </w:r>
    </w:p>
    <w:p w14:paraId="0783183E" w14:textId="77777777" w:rsidR="00C527D5" w:rsidRPr="004C1335" w:rsidRDefault="00C527D5" w:rsidP="002C3369">
      <w:pPr>
        <w:numPr>
          <w:ilvl w:val="0"/>
          <w:numId w:val="1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Routine chaos engineering and adversarial simulation programmes across multiple services and failure modes; adversarial simulation includes cross-regional failure, cybersecurity + infrastructure fault combinations.</w:t>
      </w:r>
    </w:p>
    <w:p w14:paraId="4B45C429" w14:textId="77777777" w:rsidR="00C527D5" w:rsidRPr="004C1335" w:rsidRDefault="00C527D5" w:rsidP="002C3369">
      <w:pPr>
        <w:numPr>
          <w:ilvl w:val="0"/>
          <w:numId w:val="1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Governance and regional coordination: public-private incident-sharing platforms, cross-border mutual assistance frameworks, regulators move from compliance to capability-based models (e.g., mandating recovery within X hours).</w:t>
      </w:r>
    </w:p>
    <w:p w14:paraId="4E83373B" w14:textId="77777777" w:rsidR="00C527D5" w:rsidRPr="004C1335" w:rsidRDefault="00C527D5" w:rsidP="002C3369">
      <w:pPr>
        <w:numPr>
          <w:ilvl w:val="0"/>
          <w:numId w:val="18"/>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Adaptive regulation: regulators manage resilience via sandbox environments, real-time monitoring, iterative standards.</w:t>
      </w:r>
    </w:p>
    <w:p w14:paraId="1AEAA036" w14:textId="77777777" w:rsidR="00C527D5" w:rsidRPr="003C7E78" w:rsidRDefault="00C527D5" w:rsidP="003C7E78">
      <w:pPr>
        <w:pStyle w:val="Heading2"/>
        <w:jc w:val="center"/>
        <w:rPr>
          <w:rFonts w:eastAsia="Times New Roman"/>
          <w:lang w:eastAsia="en-KE"/>
        </w:rPr>
      </w:pPr>
      <w:bookmarkStart w:id="22" w:name="_Toc213772624"/>
      <w:r w:rsidRPr="003C7E78">
        <w:rPr>
          <w:rFonts w:eastAsia="Times New Roman"/>
          <w:lang w:eastAsia="en-KE"/>
        </w:rPr>
        <w:t>Expected Outcomes:</w:t>
      </w:r>
      <w:bookmarkEnd w:id="22"/>
    </w:p>
    <w:p w14:paraId="3610FFED" w14:textId="77777777" w:rsidR="00C527D5" w:rsidRPr="004C1335" w:rsidRDefault="00C527D5" w:rsidP="002C3369">
      <w:pPr>
        <w:numPr>
          <w:ilvl w:val="0"/>
          <w:numId w:val="19"/>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Service continuity maintained under large-scale disruptions (cyber-attack, datacentre failure, region outage).</w:t>
      </w:r>
    </w:p>
    <w:p w14:paraId="4536E570" w14:textId="77777777" w:rsidR="00C527D5" w:rsidRPr="004C1335" w:rsidRDefault="00C527D5" w:rsidP="002C3369">
      <w:pPr>
        <w:numPr>
          <w:ilvl w:val="0"/>
          <w:numId w:val="19"/>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Transparent performance metrics, external reporting and regulatory benchmarking.</w:t>
      </w:r>
    </w:p>
    <w:p w14:paraId="660CD852" w14:textId="77777777" w:rsidR="00C527D5" w:rsidRDefault="00C527D5" w:rsidP="002C3369">
      <w:pPr>
        <w:numPr>
          <w:ilvl w:val="0"/>
          <w:numId w:val="19"/>
        </w:num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Digital systems become strategic enablers of inclusive economic growth and digital sovereignty.</w:t>
      </w:r>
    </w:p>
    <w:p w14:paraId="6414E169" w14:textId="77777777" w:rsidR="0004367E" w:rsidRDefault="0004367E" w:rsidP="0004367E">
      <w:pPr>
        <w:spacing w:before="100" w:beforeAutospacing="1" w:after="100" w:afterAutospacing="1" w:line="240" w:lineRule="auto"/>
        <w:jc w:val="both"/>
        <w:rPr>
          <w:rFonts w:ascii="Calibri" w:eastAsia="Times New Roman" w:hAnsi="Calibri" w:cs="Calibri"/>
          <w:kern w:val="0"/>
          <w:lang w:eastAsia="en-KE"/>
          <w14:ligatures w14:val="none"/>
        </w:rPr>
      </w:pPr>
    </w:p>
    <w:p w14:paraId="147E6DD2" w14:textId="77777777" w:rsidR="0004367E" w:rsidRDefault="0004367E" w:rsidP="0004367E">
      <w:pPr>
        <w:spacing w:before="100" w:beforeAutospacing="1" w:after="100" w:afterAutospacing="1" w:line="240" w:lineRule="auto"/>
        <w:jc w:val="both"/>
        <w:rPr>
          <w:rFonts w:ascii="Calibri" w:eastAsia="Times New Roman" w:hAnsi="Calibri" w:cs="Calibri"/>
          <w:kern w:val="0"/>
          <w:lang w:eastAsia="en-KE"/>
          <w14:ligatures w14:val="none"/>
        </w:rPr>
      </w:pPr>
    </w:p>
    <w:p w14:paraId="490F67FB" w14:textId="77777777" w:rsidR="0004367E" w:rsidRDefault="0004367E" w:rsidP="0004367E">
      <w:pPr>
        <w:spacing w:before="100" w:beforeAutospacing="1" w:after="100" w:afterAutospacing="1" w:line="240" w:lineRule="auto"/>
        <w:jc w:val="both"/>
        <w:rPr>
          <w:rFonts w:ascii="Calibri" w:eastAsia="Times New Roman" w:hAnsi="Calibri" w:cs="Calibri"/>
          <w:kern w:val="0"/>
          <w:lang w:eastAsia="en-KE"/>
          <w14:ligatures w14:val="none"/>
        </w:rPr>
      </w:pPr>
    </w:p>
    <w:p w14:paraId="0CB1AE91" w14:textId="77777777" w:rsidR="0004367E" w:rsidRDefault="0004367E" w:rsidP="0004367E">
      <w:pPr>
        <w:spacing w:before="100" w:beforeAutospacing="1" w:after="100" w:afterAutospacing="1" w:line="240" w:lineRule="auto"/>
        <w:jc w:val="both"/>
        <w:rPr>
          <w:rFonts w:ascii="Calibri" w:eastAsia="Times New Roman" w:hAnsi="Calibri" w:cs="Calibri"/>
          <w:kern w:val="0"/>
          <w:lang w:eastAsia="en-KE"/>
          <w14:ligatures w14:val="none"/>
        </w:rPr>
      </w:pPr>
    </w:p>
    <w:p w14:paraId="08EEC8B5" w14:textId="77777777" w:rsidR="0004367E" w:rsidRDefault="0004367E" w:rsidP="0004367E">
      <w:pPr>
        <w:spacing w:before="100" w:beforeAutospacing="1" w:after="100" w:afterAutospacing="1" w:line="240" w:lineRule="auto"/>
        <w:jc w:val="both"/>
        <w:rPr>
          <w:rFonts w:ascii="Calibri" w:eastAsia="Times New Roman" w:hAnsi="Calibri" w:cs="Calibri"/>
          <w:kern w:val="0"/>
          <w:lang w:eastAsia="en-KE"/>
          <w14:ligatures w14:val="none"/>
        </w:rPr>
      </w:pPr>
    </w:p>
    <w:p w14:paraId="5BF1B673" w14:textId="77777777" w:rsidR="00C812E2" w:rsidRDefault="00C812E2" w:rsidP="0004367E">
      <w:pPr>
        <w:spacing w:before="100" w:beforeAutospacing="1" w:after="100" w:afterAutospacing="1" w:line="240" w:lineRule="auto"/>
        <w:jc w:val="both"/>
        <w:rPr>
          <w:rFonts w:ascii="Calibri" w:eastAsia="Times New Roman" w:hAnsi="Calibri" w:cs="Calibri"/>
          <w:kern w:val="0"/>
          <w:lang w:eastAsia="en-KE"/>
          <w14:ligatures w14:val="none"/>
        </w:rPr>
      </w:pPr>
    </w:p>
    <w:p w14:paraId="437FB201" w14:textId="77777777" w:rsidR="00C812E2" w:rsidRDefault="00C812E2" w:rsidP="00C812E2">
      <w:pPr>
        <w:spacing w:before="100" w:beforeAutospacing="1" w:after="100" w:afterAutospacing="1" w:line="240" w:lineRule="auto"/>
        <w:jc w:val="center"/>
        <w:rPr>
          <w:rFonts w:ascii="Calibri" w:eastAsia="Times New Roman" w:hAnsi="Calibri" w:cs="Calibri"/>
          <w:i/>
          <w:iCs/>
          <w:kern w:val="0"/>
          <w:lang w:eastAsia="en-KE"/>
          <w14:ligatures w14:val="none"/>
        </w:rPr>
      </w:pPr>
    </w:p>
    <w:p w14:paraId="67139754" w14:textId="032D0574" w:rsidR="0004367E" w:rsidRPr="00C812E2" w:rsidRDefault="00CC4B3C" w:rsidP="00C812E2">
      <w:pPr>
        <w:spacing w:before="100" w:beforeAutospacing="1" w:after="100" w:afterAutospacing="1" w:line="240" w:lineRule="auto"/>
        <w:jc w:val="center"/>
        <w:rPr>
          <w:rFonts w:ascii="Calibri" w:eastAsia="Times New Roman" w:hAnsi="Calibri" w:cs="Calibri"/>
          <w:i/>
          <w:iCs/>
          <w:kern w:val="0"/>
          <w:lang w:eastAsia="en-KE"/>
          <w14:ligatures w14:val="none"/>
        </w:rPr>
      </w:pPr>
      <w:r>
        <w:rPr>
          <w:rFonts w:ascii="Calibri" w:eastAsia="Times New Roman" w:hAnsi="Calibri" w:cs="Calibri"/>
          <w:i/>
          <w:iCs/>
          <w:kern w:val="0"/>
          <w:lang w:eastAsia="en-KE"/>
          <w14:ligatures w14:val="none"/>
        </w:rPr>
        <w:t xml:space="preserve">Diagram </w:t>
      </w:r>
      <w:r w:rsidR="00C812E2" w:rsidRPr="00C812E2">
        <w:rPr>
          <w:rFonts w:ascii="Calibri" w:eastAsia="Times New Roman" w:hAnsi="Calibri" w:cs="Calibri"/>
          <w:i/>
          <w:iCs/>
          <w:kern w:val="0"/>
          <w:lang w:eastAsia="en-KE"/>
          <w14:ligatures w14:val="none"/>
        </w:rPr>
        <w:t>Illustrati</w:t>
      </w:r>
      <w:r>
        <w:rPr>
          <w:rFonts w:ascii="Calibri" w:eastAsia="Times New Roman" w:hAnsi="Calibri" w:cs="Calibri"/>
          <w:i/>
          <w:iCs/>
          <w:kern w:val="0"/>
          <w:lang w:eastAsia="en-KE"/>
          <w14:ligatures w14:val="none"/>
        </w:rPr>
        <w:t>ng adoption</w:t>
      </w:r>
      <w:r w:rsidR="00C812E2" w:rsidRPr="00C812E2">
        <w:rPr>
          <w:rFonts w:ascii="Calibri" w:eastAsia="Times New Roman" w:hAnsi="Calibri" w:cs="Calibri"/>
          <w:i/>
          <w:iCs/>
          <w:kern w:val="0"/>
          <w:lang w:eastAsia="en-KE"/>
          <w14:ligatures w14:val="none"/>
        </w:rPr>
        <w:t xml:space="preserve"> of Tier III</w:t>
      </w:r>
    </w:p>
    <w:p w14:paraId="49CE9CF8" w14:textId="1D31C5CC" w:rsidR="0004367E" w:rsidRPr="004C1335" w:rsidRDefault="00C812E2" w:rsidP="0004367E">
      <w:pPr>
        <w:spacing w:before="100" w:beforeAutospacing="1" w:after="100" w:afterAutospacing="1" w:line="240" w:lineRule="auto"/>
        <w:jc w:val="both"/>
        <w:rPr>
          <w:rFonts w:ascii="Calibri" w:eastAsia="Times New Roman" w:hAnsi="Calibri" w:cs="Calibri"/>
          <w:kern w:val="0"/>
          <w:lang w:eastAsia="en-KE"/>
          <w14:ligatures w14:val="none"/>
        </w:rPr>
      </w:pPr>
      <w:r>
        <w:rPr>
          <w:noProof/>
        </w:rPr>
        <w:drawing>
          <wp:inline distT="0" distB="0" distL="0" distR="0" wp14:anchorId="197DEB6B" wp14:editId="3A178C30">
            <wp:extent cx="5219700" cy="7644130"/>
            <wp:effectExtent l="0" t="0" r="0" b="0"/>
            <wp:docPr id="1797050990"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050990" name="Picture 1" descr="A diagram of a company&#10;&#10;AI-generated content may be incorrect."/>
                    <pic:cNvPicPr/>
                  </pic:nvPicPr>
                  <pic:blipFill>
                    <a:blip r:embed="rId17"/>
                    <a:stretch>
                      <a:fillRect/>
                    </a:stretch>
                  </pic:blipFill>
                  <pic:spPr>
                    <a:xfrm>
                      <a:off x="0" y="0"/>
                      <a:ext cx="5219700" cy="7644130"/>
                    </a:xfrm>
                    <a:prstGeom prst="rect">
                      <a:avLst/>
                    </a:prstGeom>
                  </pic:spPr>
                </pic:pic>
              </a:graphicData>
            </a:graphic>
          </wp:inline>
        </w:drawing>
      </w:r>
    </w:p>
    <w:p w14:paraId="70B3DBF9" w14:textId="77777777" w:rsidR="00C812E2" w:rsidRDefault="00C812E2" w:rsidP="00C527D5">
      <w:pPr>
        <w:spacing w:before="100" w:beforeAutospacing="1" w:after="100" w:afterAutospacing="1" w:line="240" w:lineRule="auto"/>
        <w:jc w:val="both"/>
        <w:rPr>
          <w:rFonts w:ascii="Calibri" w:eastAsia="Times New Roman" w:hAnsi="Calibri" w:cs="Calibri"/>
          <w:kern w:val="0"/>
          <w:lang w:eastAsia="en-KE"/>
          <w14:ligatures w14:val="none"/>
        </w:rPr>
      </w:pPr>
    </w:p>
    <w:p w14:paraId="1E4772C0" w14:textId="77777777" w:rsidR="00C812E2" w:rsidRDefault="00C812E2" w:rsidP="00C527D5">
      <w:pPr>
        <w:spacing w:before="100" w:beforeAutospacing="1" w:after="100" w:afterAutospacing="1" w:line="240" w:lineRule="auto"/>
        <w:jc w:val="both"/>
        <w:rPr>
          <w:rFonts w:ascii="Calibri" w:eastAsia="Times New Roman" w:hAnsi="Calibri" w:cs="Calibri"/>
          <w:kern w:val="0"/>
          <w:lang w:eastAsia="en-KE"/>
          <w14:ligatures w14:val="none"/>
        </w:rPr>
      </w:pPr>
    </w:p>
    <w:p w14:paraId="15D3AB71" w14:textId="3F0AD984" w:rsidR="00C527D5" w:rsidRPr="00CC4B3C" w:rsidRDefault="00C527D5" w:rsidP="00C527D5">
      <w:pPr>
        <w:spacing w:before="100" w:beforeAutospacing="1" w:after="100" w:afterAutospacing="1" w:line="240" w:lineRule="auto"/>
        <w:jc w:val="both"/>
        <w:rPr>
          <w:rFonts w:ascii="Calibri" w:eastAsia="Times New Roman" w:hAnsi="Calibri" w:cs="Calibri"/>
          <w:i/>
          <w:iCs/>
          <w:kern w:val="0"/>
          <w:lang w:eastAsia="en-KE"/>
          <w14:ligatures w14:val="none"/>
        </w:rPr>
      </w:pPr>
      <w:r w:rsidRPr="00CC4B3C">
        <w:rPr>
          <w:rFonts w:ascii="Calibri" w:eastAsia="Times New Roman" w:hAnsi="Calibri" w:cs="Calibri"/>
          <w:i/>
          <w:iCs/>
          <w:kern w:val="0"/>
          <w:lang w:eastAsia="en-KE"/>
          <w14:ligatures w14:val="none"/>
        </w:rPr>
        <w:t>Implementation Considerations</w:t>
      </w:r>
    </w:p>
    <w:p w14:paraId="68E5A6FF" w14:textId="73C178FA" w:rsidR="00C527D5" w:rsidRPr="004C1335"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Phased Approach: Organisations should begin at their current maturity tier and progress gradually. Jumping directly to Tier III without a strong foundation (Tier I) risks unsustainable investment and governance gaps.</w:t>
      </w:r>
      <w:r w:rsidR="00CC4B3C">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Context Sensitivity: The roadmap must be adapted for national/regional specifics: regulation, connectivity, power reliability, vendor ecosystems and budget constraints vary across African countries and sectors.</w:t>
      </w:r>
      <w:r w:rsidR="00CC4B3C">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Prioritisation: Critical systems (financial services, healthcare, e-governance) should migrate earlier along the tiers due to their higher public impact.</w:t>
      </w:r>
      <w:r w:rsidR="00CC4B3C">
        <w:rPr>
          <w:rFonts w:ascii="Calibri" w:eastAsia="Times New Roman" w:hAnsi="Calibri" w:cs="Calibri"/>
          <w:kern w:val="0"/>
          <w:lang w:eastAsia="en-KE"/>
          <w14:ligatures w14:val="none"/>
        </w:rPr>
        <w:t xml:space="preserve"> </w:t>
      </w:r>
      <w:r w:rsidRPr="004C1335">
        <w:rPr>
          <w:rFonts w:ascii="Calibri" w:eastAsia="Times New Roman" w:hAnsi="Calibri" w:cs="Calibri"/>
          <w:kern w:val="0"/>
          <w:lang w:eastAsia="en-KE"/>
          <w14:ligatures w14:val="none"/>
        </w:rPr>
        <w:t>Stakeholder Engagement: Successful adoption requires coordination among IT leadership, regulatory bodies, vendors, and public-private partners. Clear communication of resilience value and investment case helps secure buy-in.</w:t>
      </w:r>
    </w:p>
    <w:p w14:paraId="54AF6B8F" w14:textId="3B4811EB" w:rsidR="00C527D5" w:rsidRPr="00CC4B3C" w:rsidRDefault="00C527D5" w:rsidP="00C527D5">
      <w:pPr>
        <w:spacing w:before="100" w:beforeAutospacing="1" w:after="100" w:afterAutospacing="1" w:line="240" w:lineRule="auto"/>
        <w:jc w:val="both"/>
        <w:rPr>
          <w:rFonts w:ascii="Calibri" w:eastAsia="Times New Roman" w:hAnsi="Calibri" w:cs="Calibri"/>
          <w:i/>
          <w:iCs/>
          <w:kern w:val="0"/>
          <w:lang w:eastAsia="en-KE"/>
          <w14:ligatures w14:val="none"/>
        </w:rPr>
      </w:pPr>
      <w:r w:rsidRPr="00CC4B3C">
        <w:rPr>
          <w:rFonts w:ascii="Calibri" w:eastAsia="Times New Roman" w:hAnsi="Calibri" w:cs="Calibri"/>
          <w:i/>
          <w:iCs/>
          <w:kern w:val="0"/>
          <w:lang w:eastAsia="en-KE"/>
          <w14:ligatures w14:val="none"/>
        </w:rPr>
        <w:t>Tiered Adoption Roadmap Summary</w:t>
      </w:r>
    </w:p>
    <w:tbl>
      <w:tblPr>
        <w:tblStyle w:val="GridTable4"/>
        <w:tblW w:w="0" w:type="auto"/>
        <w:tblLook w:val="04A0" w:firstRow="1" w:lastRow="0" w:firstColumn="1" w:lastColumn="0" w:noHBand="0" w:noVBand="1"/>
      </w:tblPr>
      <w:tblGrid>
        <w:gridCol w:w="846"/>
        <w:gridCol w:w="1682"/>
        <w:gridCol w:w="3518"/>
        <w:gridCol w:w="2164"/>
      </w:tblGrid>
      <w:tr w:rsidR="00C527D5" w:rsidRPr="004C1335" w14:paraId="0873FA91" w14:textId="77777777" w:rsidTr="007572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hideMark/>
          </w:tcPr>
          <w:p w14:paraId="68BE2763" w14:textId="77777777" w:rsidR="00C527D5" w:rsidRPr="00D6715C" w:rsidRDefault="00C527D5" w:rsidP="00C527D5">
            <w:pPr>
              <w:spacing w:before="100" w:beforeAutospacing="1" w:after="100" w:afterAutospacing="1"/>
              <w:jc w:val="both"/>
              <w:rPr>
                <w:rFonts w:ascii="Calibri" w:eastAsia="Times New Roman" w:hAnsi="Calibri" w:cs="Calibri"/>
                <w:b w:val="0"/>
                <w:bCs w:val="0"/>
                <w:kern w:val="0"/>
                <w:lang w:eastAsia="en-KE"/>
                <w14:ligatures w14:val="none"/>
              </w:rPr>
            </w:pPr>
            <w:r w:rsidRPr="00D6715C">
              <w:rPr>
                <w:rFonts w:ascii="Calibri" w:eastAsia="Times New Roman" w:hAnsi="Calibri" w:cs="Calibri"/>
                <w:b w:val="0"/>
                <w:bCs w:val="0"/>
                <w:kern w:val="0"/>
                <w:lang w:eastAsia="en-KE"/>
                <w14:ligatures w14:val="none"/>
              </w:rPr>
              <w:t>Tier</w:t>
            </w:r>
          </w:p>
        </w:tc>
        <w:tc>
          <w:tcPr>
            <w:tcW w:w="1682" w:type="dxa"/>
            <w:hideMark/>
          </w:tcPr>
          <w:p w14:paraId="61F9E405" w14:textId="77777777" w:rsidR="00C527D5" w:rsidRPr="00D6715C" w:rsidRDefault="00C527D5" w:rsidP="00C527D5">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kern w:val="0"/>
                <w:lang w:eastAsia="en-KE"/>
                <w14:ligatures w14:val="none"/>
              </w:rPr>
            </w:pPr>
            <w:r w:rsidRPr="00D6715C">
              <w:rPr>
                <w:rFonts w:ascii="Calibri" w:eastAsia="Times New Roman" w:hAnsi="Calibri" w:cs="Calibri"/>
                <w:b w:val="0"/>
                <w:bCs w:val="0"/>
                <w:kern w:val="0"/>
                <w:lang w:eastAsia="en-KE"/>
                <w14:ligatures w14:val="none"/>
              </w:rPr>
              <w:t>Key Objective</w:t>
            </w:r>
          </w:p>
        </w:tc>
        <w:tc>
          <w:tcPr>
            <w:tcW w:w="0" w:type="auto"/>
            <w:hideMark/>
          </w:tcPr>
          <w:p w14:paraId="4AAD729A" w14:textId="77777777" w:rsidR="00C527D5" w:rsidRPr="00D6715C" w:rsidRDefault="00C527D5" w:rsidP="00C527D5">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kern w:val="0"/>
                <w:lang w:eastAsia="en-KE"/>
                <w14:ligatures w14:val="none"/>
              </w:rPr>
            </w:pPr>
            <w:r w:rsidRPr="00D6715C">
              <w:rPr>
                <w:rFonts w:ascii="Calibri" w:eastAsia="Times New Roman" w:hAnsi="Calibri" w:cs="Calibri"/>
                <w:b w:val="0"/>
                <w:bCs w:val="0"/>
                <w:kern w:val="0"/>
                <w:lang w:eastAsia="en-KE"/>
                <w14:ligatures w14:val="none"/>
              </w:rPr>
              <w:t>Core Practices</w:t>
            </w:r>
          </w:p>
        </w:tc>
        <w:tc>
          <w:tcPr>
            <w:tcW w:w="0" w:type="auto"/>
            <w:hideMark/>
          </w:tcPr>
          <w:p w14:paraId="7B124F2A" w14:textId="77777777" w:rsidR="00C527D5" w:rsidRPr="00D6715C" w:rsidRDefault="00C527D5" w:rsidP="00C527D5">
            <w:pPr>
              <w:spacing w:before="100" w:beforeAutospacing="1" w:after="100" w:afterAutospacing="1"/>
              <w:jc w:val="both"/>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kern w:val="0"/>
                <w:lang w:eastAsia="en-KE"/>
                <w14:ligatures w14:val="none"/>
              </w:rPr>
            </w:pPr>
            <w:r w:rsidRPr="00D6715C">
              <w:rPr>
                <w:rFonts w:ascii="Calibri" w:eastAsia="Times New Roman" w:hAnsi="Calibri" w:cs="Calibri"/>
                <w:b w:val="0"/>
                <w:bCs w:val="0"/>
                <w:kern w:val="0"/>
                <w:lang w:eastAsia="en-KE"/>
                <w14:ligatures w14:val="none"/>
              </w:rPr>
              <w:t>Expected Outcome</w:t>
            </w:r>
          </w:p>
        </w:tc>
      </w:tr>
      <w:tr w:rsidR="00C527D5" w:rsidRPr="004C1335" w14:paraId="1BAC707C" w14:textId="77777777" w:rsidTr="007572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hideMark/>
          </w:tcPr>
          <w:p w14:paraId="64604D56" w14:textId="77777777" w:rsidR="00C527D5" w:rsidRPr="00D6715C" w:rsidRDefault="00C527D5" w:rsidP="00C527D5">
            <w:pPr>
              <w:spacing w:before="100" w:beforeAutospacing="1" w:after="100" w:afterAutospacing="1"/>
              <w:jc w:val="both"/>
              <w:rPr>
                <w:rFonts w:ascii="Calibri" w:eastAsia="Times New Roman" w:hAnsi="Calibri" w:cs="Calibri"/>
                <w:b w:val="0"/>
                <w:bCs w:val="0"/>
                <w:kern w:val="0"/>
                <w:lang w:eastAsia="en-KE"/>
                <w14:ligatures w14:val="none"/>
              </w:rPr>
            </w:pPr>
            <w:r w:rsidRPr="00D6715C">
              <w:rPr>
                <w:rFonts w:ascii="Calibri" w:eastAsia="Times New Roman" w:hAnsi="Calibri" w:cs="Calibri"/>
                <w:b w:val="0"/>
                <w:bCs w:val="0"/>
                <w:kern w:val="0"/>
                <w:lang w:eastAsia="en-KE"/>
                <w14:ligatures w14:val="none"/>
              </w:rPr>
              <w:t>Tier I</w:t>
            </w:r>
          </w:p>
        </w:tc>
        <w:tc>
          <w:tcPr>
            <w:tcW w:w="1682" w:type="dxa"/>
            <w:hideMark/>
          </w:tcPr>
          <w:p w14:paraId="5D83D314" w14:textId="77777777" w:rsidR="00C527D5" w:rsidRPr="00D6715C" w:rsidRDefault="00C527D5" w:rsidP="00C527D5">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kern w:val="0"/>
                <w:lang w:eastAsia="en-KE"/>
                <w14:ligatures w14:val="none"/>
              </w:rPr>
            </w:pPr>
            <w:r w:rsidRPr="00D6715C">
              <w:rPr>
                <w:rFonts w:ascii="Calibri" w:eastAsia="Times New Roman" w:hAnsi="Calibri" w:cs="Calibri"/>
                <w:kern w:val="0"/>
                <w:lang w:eastAsia="en-KE"/>
                <w14:ligatures w14:val="none"/>
              </w:rPr>
              <w:t>Foundational resilience</w:t>
            </w:r>
          </w:p>
        </w:tc>
        <w:tc>
          <w:tcPr>
            <w:tcW w:w="0" w:type="auto"/>
            <w:hideMark/>
          </w:tcPr>
          <w:p w14:paraId="25458341" w14:textId="77777777" w:rsidR="00C527D5" w:rsidRPr="004C1335" w:rsidRDefault="00C527D5" w:rsidP="00C527D5">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Baseline backups, incident playbook, hybrid cloud start</w:t>
            </w:r>
          </w:p>
        </w:tc>
        <w:tc>
          <w:tcPr>
            <w:tcW w:w="0" w:type="auto"/>
            <w:hideMark/>
          </w:tcPr>
          <w:p w14:paraId="76C9180C" w14:textId="77777777" w:rsidR="00C527D5" w:rsidRPr="004C1335" w:rsidRDefault="00C527D5" w:rsidP="00C527D5">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Basic continuity</w:t>
            </w:r>
          </w:p>
        </w:tc>
      </w:tr>
      <w:tr w:rsidR="00C527D5" w:rsidRPr="004C1335" w14:paraId="12DF3AC3" w14:textId="77777777" w:rsidTr="00757241">
        <w:tc>
          <w:tcPr>
            <w:cnfStyle w:val="001000000000" w:firstRow="0" w:lastRow="0" w:firstColumn="1" w:lastColumn="0" w:oddVBand="0" w:evenVBand="0" w:oddHBand="0" w:evenHBand="0" w:firstRowFirstColumn="0" w:firstRowLastColumn="0" w:lastRowFirstColumn="0" w:lastRowLastColumn="0"/>
            <w:tcW w:w="846" w:type="dxa"/>
            <w:hideMark/>
          </w:tcPr>
          <w:p w14:paraId="4163FCB8" w14:textId="77777777" w:rsidR="00C527D5" w:rsidRPr="00D6715C" w:rsidRDefault="00C527D5" w:rsidP="00C527D5">
            <w:pPr>
              <w:spacing w:before="100" w:beforeAutospacing="1" w:after="100" w:afterAutospacing="1"/>
              <w:jc w:val="both"/>
              <w:rPr>
                <w:rFonts w:ascii="Calibri" w:eastAsia="Times New Roman" w:hAnsi="Calibri" w:cs="Calibri"/>
                <w:b w:val="0"/>
                <w:bCs w:val="0"/>
                <w:kern w:val="0"/>
                <w:lang w:eastAsia="en-KE"/>
                <w14:ligatures w14:val="none"/>
              </w:rPr>
            </w:pPr>
            <w:r w:rsidRPr="00D6715C">
              <w:rPr>
                <w:rFonts w:ascii="Calibri" w:eastAsia="Times New Roman" w:hAnsi="Calibri" w:cs="Calibri"/>
                <w:b w:val="0"/>
                <w:bCs w:val="0"/>
                <w:kern w:val="0"/>
                <w:lang w:eastAsia="en-KE"/>
                <w14:ligatures w14:val="none"/>
              </w:rPr>
              <w:t>Tier II</w:t>
            </w:r>
          </w:p>
        </w:tc>
        <w:tc>
          <w:tcPr>
            <w:tcW w:w="1682" w:type="dxa"/>
            <w:hideMark/>
          </w:tcPr>
          <w:p w14:paraId="33E2F71C" w14:textId="77777777" w:rsidR="00C527D5" w:rsidRPr="00D6715C" w:rsidRDefault="00C527D5" w:rsidP="00C527D5">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kern w:val="0"/>
                <w:lang w:eastAsia="en-KE"/>
                <w14:ligatures w14:val="none"/>
              </w:rPr>
            </w:pPr>
            <w:r w:rsidRPr="00D6715C">
              <w:rPr>
                <w:rFonts w:ascii="Calibri" w:eastAsia="Times New Roman" w:hAnsi="Calibri" w:cs="Calibri"/>
                <w:kern w:val="0"/>
                <w:lang w:eastAsia="en-KE"/>
                <w14:ligatures w14:val="none"/>
              </w:rPr>
              <w:t>Intermediate resilience</w:t>
            </w:r>
          </w:p>
        </w:tc>
        <w:tc>
          <w:tcPr>
            <w:tcW w:w="0" w:type="auto"/>
            <w:hideMark/>
          </w:tcPr>
          <w:p w14:paraId="252EC5F7" w14:textId="77777777" w:rsidR="00C527D5" w:rsidRPr="004C1335" w:rsidRDefault="00C527D5" w:rsidP="00C527D5">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Multi-cloud redundancy, metrics tracking, testing programmes</w:t>
            </w:r>
          </w:p>
        </w:tc>
        <w:tc>
          <w:tcPr>
            <w:tcW w:w="0" w:type="auto"/>
            <w:hideMark/>
          </w:tcPr>
          <w:p w14:paraId="0E6D5193" w14:textId="77777777" w:rsidR="00C527D5" w:rsidRPr="004C1335" w:rsidRDefault="00C527D5" w:rsidP="00C527D5">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Measurable recoverability</w:t>
            </w:r>
          </w:p>
        </w:tc>
      </w:tr>
      <w:tr w:rsidR="00C527D5" w:rsidRPr="004C1335" w14:paraId="37D4F8BB" w14:textId="77777777" w:rsidTr="007572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6" w:type="dxa"/>
            <w:hideMark/>
          </w:tcPr>
          <w:p w14:paraId="18DE13D3" w14:textId="77777777" w:rsidR="00C527D5" w:rsidRPr="00D6715C" w:rsidRDefault="00C527D5" w:rsidP="00C527D5">
            <w:pPr>
              <w:spacing w:before="100" w:beforeAutospacing="1" w:after="100" w:afterAutospacing="1"/>
              <w:jc w:val="both"/>
              <w:rPr>
                <w:rFonts w:ascii="Calibri" w:eastAsia="Times New Roman" w:hAnsi="Calibri" w:cs="Calibri"/>
                <w:b w:val="0"/>
                <w:bCs w:val="0"/>
                <w:kern w:val="0"/>
                <w:lang w:eastAsia="en-KE"/>
                <w14:ligatures w14:val="none"/>
              </w:rPr>
            </w:pPr>
            <w:r w:rsidRPr="00D6715C">
              <w:rPr>
                <w:rFonts w:ascii="Calibri" w:eastAsia="Times New Roman" w:hAnsi="Calibri" w:cs="Calibri"/>
                <w:b w:val="0"/>
                <w:bCs w:val="0"/>
                <w:kern w:val="0"/>
                <w:lang w:eastAsia="en-KE"/>
                <w14:ligatures w14:val="none"/>
              </w:rPr>
              <w:t>Tier III</w:t>
            </w:r>
          </w:p>
        </w:tc>
        <w:tc>
          <w:tcPr>
            <w:tcW w:w="1682" w:type="dxa"/>
            <w:hideMark/>
          </w:tcPr>
          <w:p w14:paraId="1AAB35FC" w14:textId="77777777" w:rsidR="00C527D5" w:rsidRPr="00D6715C" w:rsidRDefault="00C527D5" w:rsidP="00C527D5">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kern w:val="0"/>
                <w:lang w:eastAsia="en-KE"/>
                <w14:ligatures w14:val="none"/>
              </w:rPr>
            </w:pPr>
            <w:r w:rsidRPr="00D6715C">
              <w:rPr>
                <w:rFonts w:ascii="Calibri" w:eastAsia="Times New Roman" w:hAnsi="Calibri" w:cs="Calibri"/>
                <w:kern w:val="0"/>
                <w:lang w:eastAsia="en-KE"/>
                <w14:ligatures w14:val="none"/>
              </w:rPr>
              <w:t>Advanced resilience</w:t>
            </w:r>
          </w:p>
        </w:tc>
        <w:tc>
          <w:tcPr>
            <w:tcW w:w="0" w:type="auto"/>
            <w:hideMark/>
          </w:tcPr>
          <w:p w14:paraId="3542BE18" w14:textId="77777777" w:rsidR="00C527D5" w:rsidRPr="004C1335" w:rsidRDefault="00C527D5" w:rsidP="00C527D5">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AI-enabled automation, capability-based regulation, regional coordination</w:t>
            </w:r>
          </w:p>
        </w:tc>
        <w:tc>
          <w:tcPr>
            <w:tcW w:w="0" w:type="auto"/>
            <w:hideMark/>
          </w:tcPr>
          <w:p w14:paraId="5C836560" w14:textId="77777777" w:rsidR="00C527D5" w:rsidRPr="004C1335" w:rsidRDefault="00C527D5" w:rsidP="00C527D5">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Strategic resilience &amp; autonomy</w:t>
            </w:r>
          </w:p>
        </w:tc>
      </w:tr>
    </w:tbl>
    <w:p w14:paraId="2A758BAE" w14:textId="77777777" w:rsidR="002D3C8D" w:rsidRDefault="00C527D5" w:rsidP="00C527D5">
      <w:pPr>
        <w:spacing w:before="100" w:beforeAutospacing="1" w:after="100" w:afterAutospacing="1" w:line="240" w:lineRule="auto"/>
        <w:jc w:val="both"/>
        <w:rPr>
          <w:rFonts w:ascii="Calibri" w:eastAsia="Times New Roman" w:hAnsi="Calibri" w:cs="Calibri"/>
          <w:kern w:val="0"/>
          <w:lang w:eastAsia="en-KE"/>
          <w14:ligatures w14:val="none"/>
        </w:rPr>
      </w:pPr>
      <w:r w:rsidRPr="004C1335">
        <w:rPr>
          <w:rFonts w:ascii="Calibri" w:eastAsia="Times New Roman" w:hAnsi="Calibri" w:cs="Calibri"/>
          <w:kern w:val="0"/>
          <w:lang w:eastAsia="en-KE"/>
          <w14:ligatures w14:val="none"/>
        </w:rPr>
        <w:t xml:space="preserve">This tiered adoption roadmap translates the Resilience-by-Design paradigm into a practical pathway for African data systems. By aligning architecture, operations and governance across incremental maturity levels, organisations and regulators can manage investment risks, build capacity systematically and progressively realise high-performance resilience. </w:t>
      </w:r>
    </w:p>
    <w:p w14:paraId="2DB3E5FC" w14:textId="671EFA4F" w:rsidR="00C527D5" w:rsidRPr="002D3C8D" w:rsidRDefault="00C527D5" w:rsidP="00C527D5">
      <w:pPr>
        <w:spacing w:before="100" w:beforeAutospacing="1" w:after="100" w:afterAutospacing="1" w:line="240" w:lineRule="auto"/>
        <w:jc w:val="both"/>
        <w:rPr>
          <w:rFonts w:ascii="Calibri" w:eastAsia="Times New Roman" w:hAnsi="Calibri" w:cs="Calibri"/>
          <w:b/>
          <w:bCs/>
          <w:kern w:val="0"/>
          <w:lang w:eastAsia="en-KE"/>
          <w14:ligatures w14:val="none"/>
        </w:rPr>
      </w:pPr>
      <w:r w:rsidRPr="004C1335">
        <w:rPr>
          <w:rFonts w:ascii="Calibri" w:eastAsia="Times New Roman" w:hAnsi="Calibri" w:cs="Calibri"/>
          <w:kern w:val="0"/>
          <w:lang w:eastAsia="en-KE"/>
          <w14:ligatures w14:val="none"/>
        </w:rPr>
        <w:t>The following section will address policy and regulatory recommendations required to support and institutionalise this roadmap across jurisdictions.</w:t>
      </w:r>
    </w:p>
    <w:p w14:paraId="7DB29F21" w14:textId="147630D5" w:rsidR="00624981" w:rsidRPr="004E63C4" w:rsidRDefault="004E63C4" w:rsidP="004E63C4">
      <w:pPr>
        <w:pStyle w:val="Heading1"/>
        <w:jc w:val="center"/>
        <w:rPr>
          <w:rFonts w:eastAsia="Times New Roman"/>
          <w:sz w:val="32"/>
          <w:szCs w:val="32"/>
          <w:lang w:val="en-KE" w:eastAsia="en-KE"/>
        </w:rPr>
      </w:pPr>
      <w:bookmarkStart w:id="23" w:name="_Toc213772625"/>
      <w:r w:rsidRPr="004E63C4">
        <w:rPr>
          <w:rFonts w:eastAsia="Times New Roman"/>
          <w:sz w:val="32"/>
          <w:szCs w:val="32"/>
          <w:lang w:val="en-KE" w:eastAsia="en-KE"/>
        </w:rPr>
        <w:t>POLICY &amp; REGULATORY RECOMMENDATIONS</w:t>
      </w:r>
      <w:bookmarkEnd w:id="23"/>
    </w:p>
    <w:p w14:paraId="488FAEBF" w14:textId="7BBEB422" w:rsidR="00624981" w:rsidRPr="00624981" w:rsidRDefault="00624981" w:rsidP="00C43FDB">
      <w:pPr>
        <w:pStyle w:val="Heading2"/>
        <w:jc w:val="center"/>
        <w:rPr>
          <w:rFonts w:eastAsia="Times New Roman"/>
          <w:lang w:val="en-KE" w:eastAsia="en-KE"/>
        </w:rPr>
      </w:pPr>
      <w:bookmarkStart w:id="24" w:name="_Toc213772626"/>
      <w:r w:rsidRPr="00624981">
        <w:rPr>
          <w:rFonts w:eastAsia="Times New Roman"/>
          <w:lang w:val="en-KE" w:eastAsia="en-KE"/>
        </w:rPr>
        <w:t>Policy Reforms</w:t>
      </w:r>
      <w:bookmarkEnd w:id="24"/>
    </w:p>
    <w:p w14:paraId="4B2FB5AB" w14:textId="77777777" w:rsidR="00624981" w:rsidRPr="00624981" w:rsidRDefault="00624981" w:rsidP="00624981">
      <w:pPr>
        <w:spacing w:before="100" w:beforeAutospacing="1" w:after="100" w:afterAutospacing="1" w:line="240" w:lineRule="auto"/>
        <w:jc w:val="both"/>
        <w:rPr>
          <w:rFonts w:ascii="Calibri" w:eastAsia="Times New Roman" w:hAnsi="Calibri" w:cs="Calibri"/>
          <w:i/>
          <w:iCs/>
          <w:kern w:val="0"/>
          <w:lang w:val="en-KE" w:eastAsia="en-KE"/>
          <w14:ligatures w14:val="none"/>
        </w:rPr>
      </w:pPr>
      <w:r w:rsidRPr="00624981">
        <w:rPr>
          <w:rFonts w:ascii="Calibri" w:eastAsia="Times New Roman" w:hAnsi="Calibri" w:cs="Calibri"/>
          <w:i/>
          <w:iCs/>
          <w:kern w:val="0"/>
          <w:lang w:val="en-KE" w:eastAsia="en-KE"/>
          <w14:ligatures w14:val="none"/>
        </w:rPr>
        <w:t>Mandate Resilience Audits under Data Protection Frameworks</w:t>
      </w:r>
    </w:p>
    <w:p w14:paraId="36227DD4" w14:textId="77777777" w:rsidR="00CC4B3C"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Regulators should require organisations handling critical data systems to undergo resilience audits in addition to standard data protection compliance assessments. These audits should assess measurable resilience metrics (e.g., MTTR, service continuity thresholds, test‐coverage) and verify that resilience practices are embedded in system design and operations.</w:t>
      </w:r>
      <w:r w:rsidR="00C43FDB" w:rsidRPr="002D3C8D">
        <w:rPr>
          <w:rFonts w:ascii="Calibri" w:eastAsia="Times New Roman" w:hAnsi="Calibri" w:cs="Calibri"/>
          <w:kern w:val="0"/>
          <w:lang w:val="en-KE" w:eastAsia="en-KE"/>
          <w14:ligatures w14:val="none"/>
        </w:rPr>
        <w:t xml:space="preserve"> </w:t>
      </w:r>
    </w:p>
    <w:p w14:paraId="00594AA0" w14:textId="463A3E11" w:rsidR="00624981" w:rsidRPr="00624981"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lastRenderedPageBreak/>
        <w:t xml:space="preserve">To anchor this in existing frameworks, the AU Data Policy Framework states that Africa needs “a safe and trustworthy digital environment to boost the development of an inclusive and sustainable digital economy” that fosters data governance and interoperability </w:t>
      </w:r>
      <w:sdt>
        <w:sdtPr>
          <w:rPr>
            <w:rFonts w:ascii="Calibri" w:eastAsia="Times New Roman" w:hAnsi="Calibri" w:cs="Calibri"/>
            <w:kern w:val="0"/>
            <w:lang w:val="en-KE" w:eastAsia="en-KE"/>
            <w14:ligatures w14:val="none"/>
          </w:rPr>
          <w:id w:val="423848314"/>
          <w:citation/>
        </w:sdtPr>
        <w:sdtContent>
          <w:r w:rsidR="00E30CEB" w:rsidRPr="002D3C8D">
            <w:rPr>
              <w:rFonts w:ascii="Calibri" w:eastAsia="Times New Roman" w:hAnsi="Calibri" w:cs="Calibri"/>
              <w:kern w:val="0"/>
              <w:lang w:val="en-KE" w:eastAsia="en-KE"/>
              <w14:ligatures w14:val="none"/>
            </w:rPr>
            <w:fldChar w:fldCharType="begin"/>
          </w:r>
          <w:r w:rsidR="00E30CEB" w:rsidRPr="002D3C8D">
            <w:rPr>
              <w:rFonts w:ascii="Calibri" w:eastAsia="Times New Roman" w:hAnsi="Calibri" w:cs="Calibri"/>
              <w:kern w:val="0"/>
              <w:lang w:val="en-US" w:eastAsia="en-KE"/>
              <w14:ligatures w14:val="none"/>
            </w:rPr>
            <w:instrText xml:space="preserve"> CITATION Afr14 \l 1033 </w:instrText>
          </w:r>
          <w:r w:rsidR="00E30CEB" w:rsidRPr="002D3C8D">
            <w:rPr>
              <w:rFonts w:ascii="Calibri" w:eastAsia="Times New Roman" w:hAnsi="Calibri" w:cs="Calibri"/>
              <w:kern w:val="0"/>
              <w:lang w:val="en-KE" w:eastAsia="en-KE"/>
              <w14:ligatures w14:val="none"/>
            </w:rPr>
            <w:fldChar w:fldCharType="separate"/>
          </w:r>
          <w:r w:rsidR="00E30CEB" w:rsidRPr="002D3C8D">
            <w:rPr>
              <w:rFonts w:ascii="Calibri" w:eastAsia="Times New Roman" w:hAnsi="Calibri" w:cs="Calibri"/>
              <w:noProof/>
              <w:kern w:val="0"/>
              <w:lang w:val="en-US" w:eastAsia="en-KE"/>
              <w14:ligatures w14:val="none"/>
            </w:rPr>
            <w:t>(Union, 2014)</w:t>
          </w:r>
          <w:r w:rsidR="00E30CEB" w:rsidRPr="002D3C8D">
            <w:rPr>
              <w:rFonts w:ascii="Calibri" w:eastAsia="Times New Roman" w:hAnsi="Calibri" w:cs="Calibri"/>
              <w:kern w:val="0"/>
              <w:lang w:val="en-KE" w:eastAsia="en-KE"/>
              <w14:ligatures w14:val="none"/>
            </w:rPr>
            <w:fldChar w:fldCharType="end"/>
          </w:r>
        </w:sdtContent>
      </w:sdt>
      <w:r w:rsidR="00CC4B3C">
        <w:rPr>
          <w:rFonts w:ascii="Calibri" w:eastAsia="Times New Roman" w:hAnsi="Calibri" w:cs="Calibri"/>
          <w:kern w:val="0"/>
          <w:lang w:val="en-KE" w:eastAsia="en-KE"/>
          <w14:ligatures w14:val="none"/>
        </w:rPr>
        <w:t xml:space="preserve">. </w:t>
      </w:r>
      <w:r w:rsidRPr="00624981">
        <w:rPr>
          <w:rFonts w:ascii="Calibri" w:eastAsia="Times New Roman" w:hAnsi="Calibri" w:cs="Calibri"/>
          <w:kern w:val="0"/>
          <w:lang w:val="en-KE" w:eastAsia="en-KE"/>
          <w14:ligatures w14:val="none"/>
        </w:rPr>
        <w:t>By integrating resilience audits into national data protection laws, regulators can shift from “Did you adopt appropriate technical and organisational measures?” to “Can you demonstrate recoverability and continuity under disruption?”</w:t>
      </w:r>
    </w:p>
    <w:p w14:paraId="7C908602" w14:textId="77777777" w:rsidR="00624981" w:rsidRPr="00624981" w:rsidRDefault="00624981" w:rsidP="00624981">
      <w:pPr>
        <w:spacing w:before="100" w:beforeAutospacing="1" w:after="100" w:afterAutospacing="1" w:line="240" w:lineRule="auto"/>
        <w:jc w:val="both"/>
        <w:rPr>
          <w:rFonts w:ascii="Calibri" w:eastAsia="Times New Roman" w:hAnsi="Calibri" w:cs="Calibri"/>
          <w:i/>
          <w:iCs/>
          <w:kern w:val="0"/>
          <w:lang w:val="en-KE" w:eastAsia="en-KE"/>
          <w14:ligatures w14:val="none"/>
        </w:rPr>
      </w:pPr>
      <w:r w:rsidRPr="00624981">
        <w:rPr>
          <w:rFonts w:ascii="Calibri" w:eastAsia="Times New Roman" w:hAnsi="Calibri" w:cs="Calibri"/>
          <w:i/>
          <w:iCs/>
          <w:kern w:val="0"/>
          <w:lang w:val="en-KE" w:eastAsia="en-KE"/>
          <w14:ligatures w14:val="none"/>
        </w:rPr>
        <w:t>Establish Regional Resilience Standards under AU Frameworks</w:t>
      </w:r>
    </w:p>
    <w:p w14:paraId="4F71E92C" w14:textId="73722967" w:rsidR="00624981" w:rsidRPr="00624981"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Continental and regional bodies must develop harmonised resilience standards tailored for African infrastructures and service contexts. The AU’s frameworks and regional instruments such as the East African Community (EAC) Data Governance Policy Framework show that harmonisation of data governance is underway. One recommendation is to develop a regional resilience standard (for example, “Data System Resilience Standard 1”) that specifies baseline architecture requirements (multi-cloud redundancy, geographic fail-over, immutable data stores), minimum recovery times, testing regimes and mandatory participation in cross-border incident sharing. Having such a standard would enable peer benchmarking, vendor consistency and regulator interoperability.</w:t>
      </w:r>
    </w:p>
    <w:p w14:paraId="600B1B2B" w14:textId="77777777" w:rsidR="00624981" w:rsidRPr="00624981" w:rsidRDefault="00624981" w:rsidP="00624981">
      <w:pPr>
        <w:spacing w:before="100" w:beforeAutospacing="1" w:after="100" w:afterAutospacing="1" w:line="240" w:lineRule="auto"/>
        <w:jc w:val="both"/>
        <w:rPr>
          <w:rFonts w:ascii="Calibri" w:eastAsia="Times New Roman" w:hAnsi="Calibri" w:cs="Calibri"/>
          <w:i/>
          <w:iCs/>
          <w:kern w:val="0"/>
          <w:lang w:val="en-KE" w:eastAsia="en-KE"/>
          <w14:ligatures w14:val="none"/>
        </w:rPr>
      </w:pPr>
      <w:r w:rsidRPr="00624981">
        <w:rPr>
          <w:rFonts w:ascii="Calibri" w:eastAsia="Times New Roman" w:hAnsi="Calibri" w:cs="Calibri"/>
          <w:i/>
          <w:iCs/>
          <w:kern w:val="0"/>
          <w:lang w:val="en-KE" w:eastAsia="en-KE"/>
          <w14:ligatures w14:val="none"/>
        </w:rPr>
        <w:t>Encourage Open Reporting and Coordinated Incident Response</w:t>
      </w:r>
    </w:p>
    <w:p w14:paraId="12949308" w14:textId="77777777" w:rsidR="00F66684" w:rsidRPr="004C1335"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 xml:space="preserve">Transparency in incident response and resilience outcomes builds trust and improves systemic learning. Policymakers should require entities to publicly report key resilience performance metrics (e.g., MTTR, number of incidents, duration of degraded service) and participate in coordinated incident response networks. The Smart Africa Alliance, in partnership with the Internet Corporation for Assigned Names and Numbers (ICANN) and others, has begun efforts to enhance internet governance, resilience and cooperation across African states. </w:t>
      </w:r>
      <w:sdt>
        <w:sdtPr>
          <w:rPr>
            <w:rFonts w:ascii="Calibri" w:eastAsia="Times New Roman" w:hAnsi="Calibri" w:cs="Calibri"/>
            <w:kern w:val="0"/>
            <w:lang w:val="en-KE" w:eastAsia="en-KE"/>
            <w14:ligatures w14:val="none"/>
          </w:rPr>
          <w:id w:val="-1417930608"/>
          <w:citation/>
        </w:sdtPr>
        <w:sdtContent>
          <w:r w:rsidR="00F66684" w:rsidRPr="004C1335">
            <w:rPr>
              <w:rFonts w:ascii="Calibri" w:eastAsia="Times New Roman" w:hAnsi="Calibri" w:cs="Calibri"/>
              <w:kern w:val="0"/>
              <w:lang w:val="en-KE" w:eastAsia="en-KE"/>
              <w14:ligatures w14:val="none"/>
            </w:rPr>
            <w:fldChar w:fldCharType="begin"/>
          </w:r>
          <w:r w:rsidR="00F66684" w:rsidRPr="004C1335">
            <w:rPr>
              <w:rFonts w:ascii="Calibri" w:eastAsia="Times New Roman" w:hAnsi="Calibri" w:cs="Calibri"/>
              <w:kern w:val="0"/>
              <w:lang w:val="en-US" w:eastAsia="en-KE"/>
              <w14:ligatures w14:val="none"/>
            </w:rPr>
            <w:instrText xml:space="preserve"> CITATION Int24 \l 1033 </w:instrText>
          </w:r>
          <w:r w:rsidR="00F66684" w:rsidRPr="004C1335">
            <w:rPr>
              <w:rFonts w:ascii="Calibri" w:eastAsia="Times New Roman" w:hAnsi="Calibri" w:cs="Calibri"/>
              <w:kern w:val="0"/>
              <w:lang w:val="en-KE" w:eastAsia="en-KE"/>
              <w14:ligatures w14:val="none"/>
            </w:rPr>
            <w:fldChar w:fldCharType="separate"/>
          </w:r>
          <w:r w:rsidR="00F66684" w:rsidRPr="004C1335">
            <w:rPr>
              <w:rFonts w:ascii="Calibri" w:eastAsia="Times New Roman" w:hAnsi="Calibri" w:cs="Calibri"/>
              <w:noProof/>
              <w:kern w:val="0"/>
              <w:lang w:val="en-US" w:eastAsia="en-KE"/>
              <w14:ligatures w14:val="none"/>
            </w:rPr>
            <w:t>(Numbers, 2024)</w:t>
          </w:r>
          <w:r w:rsidR="00F66684" w:rsidRPr="004C1335">
            <w:rPr>
              <w:rFonts w:ascii="Calibri" w:eastAsia="Times New Roman" w:hAnsi="Calibri" w:cs="Calibri"/>
              <w:kern w:val="0"/>
              <w:lang w:val="en-KE" w:eastAsia="en-KE"/>
              <w14:ligatures w14:val="none"/>
            </w:rPr>
            <w:fldChar w:fldCharType="end"/>
          </w:r>
        </w:sdtContent>
      </w:sdt>
      <w:r w:rsidR="00F66684" w:rsidRPr="004C1335">
        <w:rPr>
          <w:rFonts w:ascii="Calibri" w:eastAsia="Times New Roman" w:hAnsi="Calibri" w:cs="Calibri"/>
          <w:kern w:val="0"/>
          <w:lang w:val="en-KE" w:eastAsia="en-KE"/>
          <w14:ligatures w14:val="none"/>
        </w:rPr>
        <w:t xml:space="preserve">. </w:t>
      </w:r>
    </w:p>
    <w:p w14:paraId="10C43D34" w14:textId="3C9DF389" w:rsidR="00624981" w:rsidRPr="00624981"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Such coordinated frameworks should include public–private partnerships, cross-sector coordination (ICT, finance, health) and regional mutual assistance agreements for incident recovery.</w:t>
      </w:r>
    </w:p>
    <w:p w14:paraId="536CB17B" w14:textId="2FB55D3B" w:rsidR="00624981" w:rsidRPr="00624981" w:rsidRDefault="00624981" w:rsidP="00C43FDB">
      <w:pPr>
        <w:pStyle w:val="Heading2"/>
        <w:jc w:val="center"/>
        <w:rPr>
          <w:rFonts w:eastAsia="Times New Roman"/>
          <w:lang w:val="en-KE" w:eastAsia="en-KE"/>
        </w:rPr>
      </w:pPr>
      <w:bookmarkStart w:id="25" w:name="_Toc213772627"/>
      <w:r w:rsidRPr="00624981">
        <w:rPr>
          <w:rFonts w:eastAsia="Times New Roman"/>
          <w:lang w:val="en-KE" w:eastAsia="en-KE"/>
        </w:rPr>
        <w:t>Harmonization</w:t>
      </w:r>
      <w:bookmarkEnd w:id="25"/>
    </w:p>
    <w:p w14:paraId="0BE1A15D" w14:textId="77777777" w:rsidR="00624981" w:rsidRPr="00624981" w:rsidRDefault="00624981" w:rsidP="00624981">
      <w:pPr>
        <w:spacing w:before="100" w:beforeAutospacing="1" w:after="100" w:afterAutospacing="1" w:line="240" w:lineRule="auto"/>
        <w:jc w:val="both"/>
        <w:rPr>
          <w:rFonts w:ascii="Calibri" w:eastAsia="Times New Roman" w:hAnsi="Calibri" w:cs="Calibri"/>
          <w:i/>
          <w:iCs/>
          <w:kern w:val="0"/>
          <w:lang w:val="en-KE" w:eastAsia="en-KE"/>
          <w14:ligatures w14:val="none"/>
        </w:rPr>
      </w:pPr>
      <w:r w:rsidRPr="00624981">
        <w:rPr>
          <w:rFonts w:ascii="Calibri" w:eastAsia="Times New Roman" w:hAnsi="Calibri" w:cs="Calibri"/>
          <w:i/>
          <w:iCs/>
          <w:kern w:val="0"/>
          <w:lang w:val="en-KE" w:eastAsia="en-KE"/>
          <w14:ligatures w14:val="none"/>
        </w:rPr>
        <w:t>Align Resilience Requirements with Data Protection Obligations for Interoperability</w:t>
      </w:r>
    </w:p>
    <w:p w14:paraId="1DD44C6E" w14:textId="77777777" w:rsidR="00CC4B3C"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 xml:space="preserve">Resilience obligations should be integrated into existing data protection regimes so that organisations do not face separate, disconnected sets of requirements. For example, data protection laws that require “appropriate technical and organisational measures” should explicitly include resilience metrics and continuity requirements. The AU’s harmonisation efforts show the need for interoperable frameworks: “Develop a shared data space and standards that regulate the intensifying production and use of data across the continent.” </w:t>
      </w:r>
      <w:sdt>
        <w:sdtPr>
          <w:rPr>
            <w:rFonts w:ascii="Calibri" w:eastAsia="Times New Roman" w:hAnsi="Calibri" w:cs="Calibri"/>
            <w:kern w:val="0"/>
            <w:lang w:val="en-KE" w:eastAsia="en-KE"/>
            <w14:ligatures w14:val="none"/>
          </w:rPr>
          <w:id w:val="239909435"/>
          <w:citation/>
        </w:sdtPr>
        <w:sdtContent>
          <w:r w:rsidR="004B0229" w:rsidRPr="004C1335">
            <w:rPr>
              <w:rFonts w:ascii="Calibri" w:eastAsia="Times New Roman" w:hAnsi="Calibri" w:cs="Calibri"/>
              <w:kern w:val="0"/>
              <w:lang w:val="en-KE" w:eastAsia="en-KE"/>
              <w14:ligatures w14:val="none"/>
            </w:rPr>
            <w:fldChar w:fldCharType="begin"/>
          </w:r>
          <w:r w:rsidR="004B0229" w:rsidRPr="004C1335">
            <w:rPr>
              <w:rFonts w:ascii="Calibri" w:eastAsia="Times New Roman" w:hAnsi="Calibri" w:cs="Calibri"/>
              <w:kern w:val="0"/>
              <w:lang w:val="en-US" w:eastAsia="en-KE"/>
              <w14:ligatures w14:val="none"/>
            </w:rPr>
            <w:instrText xml:space="preserve"> CITATION Afr14 \l 1033 </w:instrText>
          </w:r>
          <w:r w:rsidR="004B0229" w:rsidRPr="004C1335">
            <w:rPr>
              <w:rFonts w:ascii="Calibri" w:eastAsia="Times New Roman" w:hAnsi="Calibri" w:cs="Calibri"/>
              <w:kern w:val="0"/>
              <w:lang w:val="en-KE" w:eastAsia="en-KE"/>
              <w14:ligatures w14:val="none"/>
            </w:rPr>
            <w:fldChar w:fldCharType="separate"/>
          </w:r>
          <w:r w:rsidR="004B0229" w:rsidRPr="004C1335">
            <w:rPr>
              <w:rFonts w:ascii="Calibri" w:eastAsia="Times New Roman" w:hAnsi="Calibri" w:cs="Calibri"/>
              <w:noProof/>
              <w:kern w:val="0"/>
              <w:lang w:val="en-US" w:eastAsia="en-KE"/>
              <w14:ligatures w14:val="none"/>
            </w:rPr>
            <w:t>(Union, 2014)</w:t>
          </w:r>
          <w:r w:rsidR="004B0229" w:rsidRPr="004C1335">
            <w:rPr>
              <w:rFonts w:ascii="Calibri" w:eastAsia="Times New Roman" w:hAnsi="Calibri" w:cs="Calibri"/>
              <w:kern w:val="0"/>
              <w:lang w:val="en-KE" w:eastAsia="en-KE"/>
              <w14:ligatures w14:val="none"/>
            </w:rPr>
            <w:fldChar w:fldCharType="end"/>
          </w:r>
        </w:sdtContent>
      </w:sdt>
      <w:r w:rsidR="004B0229" w:rsidRPr="004C1335">
        <w:rPr>
          <w:rFonts w:ascii="Calibri" w:eastAsia="Times New Roman" w:hAnsi="Calibri" w:cs="Calibri"/>
          <w:kern w:val="0"/>
          <w:lang w:val="en-KE" w:eastAsia="en-KE"/>
          <w14:ligatures w14:val="none"/>
        </w:rPr>
        <w:t xml:space="preserve">. </w:t>
      </w:r>
    </w:p>
    <w:p w14:paraId="69F832EA" w14:textId="436BE8F1" w:rsidR="00624981" w:rsidRPr="00624981"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lastRenderedPageBreak/>
        <w:t>Ensuring alignment avoids regulatory fragmentation and makes cross-border data flows and system resilience easier to manage.</w:t>
      </w:r>
    </w:p>
    <w:p w14:paraId="71C63BCF" w14:textId="77777777" w:rsidR="00624981" w:rsidRPr="00624981" w:rsidRDefault="00624981" w:rsidP="00624981">
      <w:pPr>
        <w:spacing w:before="100" w:beforeAutospacing="1" w:after="100" w:afterAutospacing="1" w:line="240" w:lineRule="auto"/>
        <w:jc w:val="both"/>
        <w:rPr>
          <w:rFonts w:ascii="Calibri" w:eastAsia="Times New Roman" w:hAnsi="Calibri" w:cs="Calibri"/>
          <w:i/>
          <w:iCs/>
          <w:kern w:val="0"/>
          <w:lang w:val="en-KE" w:eastAsia="en-KE"/>
          <w14:ligatures w14:val="none"/>
        </w:rPr>
      </w:pPr>
      <w:r w:rsidRPr="00624981">
        <w:rPr>
          <w:rFonts w:ascii="Calibri" w:eastAsia="Times New Roman" w:hAnsi="Calibri" w:cs="Calibri"/>
          <w:i/>
          <w:iCs/>
          <w:kern w:val="0"/>
          <w:lang w:val="en-KE" w:eastAsia="en-KE"/>
          <w14:ligatures w14:val="none"/>
        </w:rPr>
        <w:t>Leverage Continental Initiatives (e.g., Smart Africa Alliance)</w:t>
      </w:r>
    </w:p>
    <w:p w14:paraId="31AD378C" w14:textId="33C65F01" w:rsidR="00624981" w:rsidRPr="00624981"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Continental initiatives provide platforms for policy diffusion, capacity building and standard setting. The Smart Africa Alliance and its partnerships (for instance with cybersecurity firm Kaspersky) are already advancing policy harmonisation, skills development and infrastructure resilience</w:t>
      </w:r>
      <w:r w:rsidR="00CE2ABE" w:rsidRPr="004C1335">
        <w:rPr>
          <w:rFonts w:ascii="Calibri" w:eastAsia="Times New Roman" w:hAnsi="Calibri" w:cs="Calibri"/>
          <w:kern w:val="0"/>
          <w:lang w:val="en-KE" w:eastAsia="en-KE"/>
          <w14:ligatures w14:val="none"/>
        </w:rPr>
        <w:t xml:space="preserve"> </w:t>
      </w:r>
      <w:sdt>
        <w:sdtPr>
          <w:rPr>
            <w:rFonts w:ascii="Calibri" w:eastAsia="Times New Roman" w:hAnsi="Calibri" w:cs="Calibri"/>
            <w:kern w:val="0"/>
            <w:lang w:val="en-KE" w:eastAsia="en-KE"/>
            <w14:ligatures w14:val="none"/>
          </w:rPr>
          <w:id w:val="-100347268"/>
          <w:citation/>
        </w:sdtPr>
        <w:sdtContent>
          <w:r w:rsidR="00871F88" w:rsidRPr="004C1335">
            <w:rPr>
              <w:rFonts w:ascii="Calibri" w:eastAsia="Times New Roman" w:hAnsi="Calibri" w:cs="Calibri"/>
              <w:kern w:val="0"/>
              <w:lang w:val="en-KE" w:eastAsia="en-KE"/>
              <w14:ligatures w14:val="none"/>
            </w:rPr>
            <w:fldChar w:fldCharType="begin"/>
          </w:r>
          <w:r w:rsidR="00871F88" w:rsidRPr="004C1335">
            <w:rPr>
              <w:rFonts w:ascii="Calibri" w:eastAsia="Times New Roman" w:hAnsi="Calibri" w:cs="Calibri"/>
              <w:kern w:val="0"/>
              <w:lang w:val="en-US" w:eastAsia="en-KE"/>
              <w14:ligatures w14:val="none"/>
            </w:rPr>
            <w:instrText xml:space="preserve"> CITATION Njo25 \l 1033 </w:instrText>
          </w:r>
          <w:r w:rsidR="00871F88" w:rsidRPr="004C1335">
            <w:rPr>
              <w:rFonts w:ascii="Calibri" w:eastAsia="Times New Roman" w:hAnsi="Calibri" w:cs="Calibri"/>
              <w:kern w:val="0"/>
              <w:lang w:val="en-KE" w:eastAsia="en-KE"/>
              <w14:ligatures w14:val="none"/>
            </w:rPr>
            <w:fldChar w:fldCharType="separate"/>
          </w:r>
          <w:r w:rsidR="00871F88" w:rsidRPr="004C1335">
            <w:rPr>
              <w:rFonts w:ascii="Calibri" w:eastAsia="Times New Roman" w:hAnsi="Calibri" w:cs="Calibri"/>
              <w:noProof/>
              <w:kern w:val="0"/>
              <w:lang w:val="en-US" w:eastAsia="en-KE"/>
              <w14:ligatures w14:val="none"/>
            </w:rPr>
            <w:t>(Njoya, 2025)</w:t>
          </w:r>
          <w:r w:rsidR="00871F88" w:rsidRPr="004C1335">
            <w:rPr>
              <w:rFonts w:ascii="Calibri" w:eastAsia="Times New Roman" w:hAnsi="Calibri" w:cs="Calibri"/>
              <w:kern w:val="0"/>
              <w:lang w:val="en-KE" w:eastAsia="en-KE"/>
              <w14:ligatures w14:val="none"/>
            </w:rPr>
            <w:fldChar w:fldCharType="end"/>
          </w:r>
        </w:sdtContent>
      </w:sdt>
      <w:r w:rsidR="00871F88" w:rsidRPr="004C1335">
        <w:rPr>
          <w:rFonts w:ascii="Calibri" w:eastAsia="Times New Roman" w:hAnsi="Calibri" w:cs="Calibri"/>
          <w:kern w:val="0"/>
          <w:lang w:val="en-KE" w:eastAsia="en-KE"/>
          <w14:ligatures w14:val="none"/>
        </w:rPr>
        <w:t xml:space="preserve">. </w:t>
      </w:r>
      <w:r w:rsidRPr="00624981">
        <w:rPr>
          <w:rFonts w:ascii="Calibri" w:eastAsia="Times New Roman" w:hAnsi="Calibri" w:cs="Calibri"/>
          <w:kern w:val="0"/>
          <w:lang w:val="en-KE" w:eastAsia="en-KE"/>
          <w14:ligatures w14:val="none"/>
        </w:rPr>
        <w:t>Policymakers should leverage these initiatives to adopt resilience standards, pool best practices, coordinate training and jointly develop resilience benchmarks. Countries can adopt model legislation or regional codes of practice derived from these platforms to accelerate adoption and interoperability.</w:t>
      </w:r>
    </w:p>
    <w:p w14:paraId="5D38D504" w14:textId="2CF894C1" w:rsidR="00624981" w:rsidRPr="00624981"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Implementation Considerations</w:t>
      </w:r>
    </w:p>
    <w:p w14:paraId="6850EE84" w14:textId="7D34A173" w:rsidR="00624981" w:rsidRPr="00624981" w:rsidRDefault="00624981" w:rsidP="002D3C8D">
      <w:pPr>
        <w:numPr>
          <w:ilvl w:val="0"/>
          <w:numId w:val="20"/>
        </w:num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Phased roll-out: Resilience obligations should be introduced progressively</w:t>
      </w:r>
      <w:r w:rsidR="00BC774A" w:rsidRPr="004C1335">
        <w:rPr>
          <w:rFonts w:ascii="Calibri" w:eastAsia="Times New Roman" w:hAnsi="Calibri" w:cs="Calibri"/>
          <w:kern w:val="0"/>
          <w:lang w:val="en-KE" w:eastAsia="en-KE"/>
          <w14:ligatures w14:val="none"/>
        </w:rPr>
        <w:t xml:space="preserve">, </w:t>
      </w:r>
      <w:r w:rsidRPr="00624981">
        <w:rPr>
          <w:rFonts w:ascii="Calibri" w:eastAsia="Times New Roman" w:hAnsi="Calibri" w:cs="Calibri"/>
          <w:kern w:val="0"/>
          <w:lang w:val="en-KE" w:eastAsia="en-KE"/>
          <w14:ligatures w14:val="none"/>
        </w:rPr>
        <w:t>starting with critical infrastructure sectors (finance, health, government services) and later extended to broader data controllers/processors.</w:t>
      </w:r>
    </w:p>
    <w:p w14:paraId="03DB25A8" w14:textId="77777777" w:rsidR="00624981" w:rsidRPr="00624981" w:rsidRDefault="00624981" w:rsidP="002D3C8D">
      <w:pPr>
        <w:numPr>
          <w:ilvl w:val="0"/>
          <w:numId w:val="20"/>
        </w:num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Capacity building: Regulators, CERTs and organisations need technical capacity, tools and understanding of resilience metrics and recovery frameworks.</w:t>
      </w:r>
    </w:p>
    <w:p w14:paraId="0940607F" w14:textId="77777777" w:rsidR="00624981" w:rsidRPr="00624981" w:rsidRDefault="00624981" w:rsidP="00624981">
      <w:pPr>
        <w:numPr>
          <w:ilvl w:val="0"/>
          <w:numId w:val="20"/>
        </w:num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Incentives and support: Provide incentives for organisations adopting higher-tier resilience practices. Consider public–private funding mechanisms, tax support or recognition schemes to offset cost burdens in resource-constrained settings.</w:t>
      </w:r>
    </w:p>
    <w:p w14:paraId="05C2A009" w14:textId="77777777" w:rsidR="00624981" w:rsidRPr="00624981" w:rsidRDefault="00624981" w:rsidP="00624981">
      <w:pPr>
        <w:numPr>
          <w:ilvl w:val="0"/>
          <w:numId w:val="20"/>
        </w:num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Monitoring and review: Regulatory frameworks should include periodic review mechanisms for resilience standards, benchmarking performance across jurisdictions, and adapting to evolving threats and technologies (e.g., AI, supply-chain risk).</w:t>
      </w:r>
    </w:p>
    <w:p w14:paraId="5D8A69A1" w14:textId="48A0CB36" w:rsidR="00624981" w:rsidRPr="00624981" w:rsidRDefault="00624981" w:rsidP="00624981">
      <w:pPr>
        <w:numPr>
          <w:ilvl w:val="0"/>
          <w:numId w:val="20"/>
        </w:num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Regional cooperation: Incident recovery often crosses borders. Mutual assistance frameworks, shared playbooks and regional incident centres reduce duplication, improve response times and increase system-wide resilience.</w:t>
      </w:r>
    </w:p>
    <w:p w14:paraId="220327A6" w14:textId="77777777" w:rsidR="00624981" w:rsidRPr="004C1335" w:rsidRDefault="00624981" w:rsidP="00624981">
      <w:pPr>
        <w:spacing w:before="100" w:beforeAutospacing="1" w:after="100" w:afterAutospacing="1" w:line="240" w:lineRule="auto"/>
        <w:jc w:val="both"/>
        <w:rPr>
          <w:rFonts w:ascii="Calibri" w:eastAsia="Times New Roman" w:hAnsi="Calibri" w:cs="Calibri"/>
          <w:kern w:val="0"/>
          <w:lang w:val="en-KE" w:eastAsia="en-KE"/>
          <w14:ligatures w14:val="none"/>
        </w:rPr>
      </w:pPr>
      <w:r w:rsidRPr="00624981">
        <w:rPr>
          <w:rFonts w:ascii="Calibri" w:eastAsia="Times New Roman" w:hAnsi="Calibri" w:cs="Calibri"/>
          <w:kern w:val="0"/>
          <w:lang w:val="en-KE" w:eastAsia="en-KE"/>
          <w14:ligatures w14:val="none"/>
        </w:rPr>
        <w:t>By mandating resilience audits, establishing regional resilience standards, encouraging transparent incident reporting, aligning resilience with data protection regimes and leveraging continental initiatives, policymakers can institutionalize resilience as a strategic dimension of data governance in Africa. These recommendations help embed resilience not only at the organisational and technical levels but as part of national and regional policy scaffolds, thus positioning resilient data systems as enablers of an inclusive and trusted digital economy.</w:t>
      </w:r>
    </w:p>
    <w:p w14:paraId="5F5C3016" w14:textId="0E019F78" w:rsidR="00EA2739" w:rsidRPr="00373496" w:rsidRDefault="00373496" w:rsidP="00373496">
      <w:pPr>
        <w:pStyle w:val="Heading1"/>
        <w:jc w:val="center"/>
        <w:rPr>
          <w:rFonts w:eastAsia="Times New Roman"/>
          <w:sz w:val="32"/>
          <w:szCs w:val="32"/>
          <w:lang w:val="en-KE" w:eastAsia="en-KE"/>
        </w:rPr>
      </w:pPr>
      <w:bookmarkStart w:id="26" w:name="_Toc213772628"/>
      <w:r w:rsidRPr="00373496">
        <w:rPr>
          <w:rFonts w:eastAsia="Times New Roman"/>
          <w:sz w:val="32"/>
          <w:szCs w:val="32"/>
          <w:lang w:val="en-KE" w:eastAsia="en-KE"/>
        </w:rPr>
        <w:lastRenderedPageBreak/>
        <w:t>CONCLUSION</w:t>
      </w:r>
      <w:bookmarkEnd w:id="26"/>
    </w:p>
    <w:p w14:paraId="26EFACE6" w14:textId="02CE0902" w:rsidR="00D401A5" w:rsidRPr="005F6DD8" w:rsidRDefault="00D401A5" w:rsidP="005F6DD8">
      <w:pPr>
        <w:pStyle w:val="Heading2"/>
        <w:jc w:val="center"/>
        <w:rPr>
          <w:rFonts w:eastAsia="Times New Roman"/>
          <w:sz w:val="28"/>
          <w:szCs w:val="28"/>
          <w:lang w:val="en-KE" w:eastAsia="en-KE"/>
        </w:rPr>
      </w:pPr>
      <w:bookmarkStart w:id="27" w:name="_Toc213772629"/>
      <w:r w:rsidRPr="005F6DD8">
        <w:rPr>
          <w:rFonts w:eastAsia="Times New Roman"/>
          <w:sz w:val="28"/>
          <w:szCs w:val="28"/>
          <w:lang w:val="en-KE" w:eastAsia="en-KE"/>
        </w:rPr>
        <w:t>Summary of Contributions</w:t>
      </w:r>
      <w:bookmarkEnd w:id="27"/>
    </w:p>
    <w:p w14:paraId="6EAD941B" w14:textId="71B77AD2" w:rsidR="00EA2739"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The research presented in this paper advances a paradigm shift in the conceptualisation and governance of Africa’s data systems</w:t>
      </w:r>
      <w:r w:rsidR="0050225F" w:rsidRPr="004C1335">
        <w:rPr>
          <w:rFonts w:ascii="Calibri" w:eastAsia="Times New Roman" w:hAnsi="Calibri" w:cs="Calibri"/>
          <w:kern w:val="0"/>
          <w:lang w:val="en-KE" w:eastAsia="en-KE"/>
          <w14:ligatures w14:val="none"/>
        </w:rPr>
        <w:t xml:space="preserve">, </w:t>
      </w:r>
      <w:r w:rsidRPr="00EA2739">
        <w:rPr>
          <w:rFonts w:ascii="Calibri" w:eastAsia="Times New Roman" w:hAnsi="Calibri" w:cs="Calibri"/>
          <w:kern w:val="0"/>
          <w:lang w:val="en-KE" w:eastAsia="en-KE"/>
          <w14:ligatures w14:val="none"/>
        </w:rPr>
        <w:t>from security-centric to resilience-centric architectures. The traditional emphasis on preventing data breaches and ensuring compliance with privacy obligations, while critical, is insufficient in a digital economy increasingly defined by interdependence, automation, and geopolitical complexity. In contrast, the Resilience-by-Design approach proposed here situates resilience as a primary design, operational, and governance principle. This reframing does not replace security but complements it with adaptive capacity, continuous functionality, and systemic recoverability.</w:t>
      </w:r>
    </w:p>
    <w:p w14:paraId="1417C107" w14:textId="47904D23" w:rsidR="00EA2739"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 xml:space="preserve">At the design level, the paper established how Zero-Trust Architecture (ZTA), fault-tolerant engineering, multi-cloud redundancy, and immutable data stores can collectively eliminate single points of failure and ensure data integrity. These mechanisms are not theoretical constructs but practical imperatives that align with established best practices in digital infrastructure. The U.S. National Institute of Standards and Technology (NIST) emphasises that “zero trust assumes that no implicit trust is granted to assets or user accounts based solely on their physical or network location” </w:t>
      </w:r>
      <w:sdt>
        <w:sdtPr>
          <w:rPr>
            <w:rFonts w:ascii="Calibri" w:eastAsia="Times New Roman" w:hAnsi="Calibri" w:cs="Calibri"/>
            <w:kern w:val="0"/>
            <w:lang w:val="en-KE" w:eastAsia="en-KE"/>
            <w14:ligatures w14:val="none"/>
          </w:rPr>
          <w:id w:val="-469444427"/>
          <w:citation/>
        </w:sdtPr>
        <w:sdtContent>
          <w:r w:rsidR="00F047A1" w:rsidRPr="004C1335">
            <w:rPr>
              <w:rFonts w:ascii="Calibri" w:eastAsia="Times New Roman" w:hAnsi="Calibri" w:cs="Calibri"/>
              <w:kern w:val="0"/>
              <w:lang w:val="en-KE" w:eastAsia="en-KE"/>
              <w14:ligatures w14:val="none"/>
            </w:rPr>
            <w:fldChar w:fldCharType="begin"/>
          </w:r>
          <w:r w:rsidR="00F047A1" w:rsidRPr="004C1335">
            <w:rPr>
              <w:rFonts w:ascii="Calibri" w:eastAsia="Times New Roman" w:hAnsi="Calibri" w:cs="Calibri"/>
              <w:kern w:val="0"/>
              <w:lang w:val="en-US" w:eastAsia="en-KE"/>
              <w14:ligatures w14:val="none"/>
            </w:rPr>
            <w:instrText xml:space="preserve"> CITATION Ros20 \l 1033 </w:instrText>
          </w:r>
          <w:r w:rsidR="00F047A1" w:rsidRPr="004C1335">
            <w:rPr>
              <w:rFonts w:ascii="Calibri" w:eastAsia="Times New Roman" w:hAnsi="Calibri" w:cs="Calibri"/>
              <w:kern w:val="0"/>
              <w:lang w:val="en-KE" w:eastAsia="en-KE"/>
              <w14:ligatures w14:val="none"/>
            </w:rPr>
            <w:fldChar w:fldCharType="separate"/>
          </w:r>
          <w:r w:rsidR="00F047A1" w:rsidRPr="004C1335">
            <w:rPr>
              <w:rFonts w:ascii="Calibri" w:eastAsia="Times New Roman" w:hAnsi="Calibri" w:cs="Calibri"/>
              <w:noProof/>
              <w:kern w:val="0"/>
              <w:lang w:val="en-US" w:eastAsia="en-KE"/>
              <w14:ligatures w14:val="none"/>
            </w:rPr>
            <w:t>(Rose, Borchert, Mitchell, &amp; Connelly, 2020)</w:t>
          </w:r>
          <w:r w:rsidR="00F047A1" w:rsidRPr="004C1335">
            <w:rPr>
              <w:rFonts w:ascii="Calibri" w:eastAsia="Times New Roman" w:hAnsi="Calibri" w:cs="Calibri"/>
              <w:kern w:val="0"/>
              <w:lang w:val="en-KE" w:eastAsia="en-KE"/>
              <w14:ligatures w14:val="none"/>
            </w:rPr>
            <w:fldChar w:fldCharType="end"/>
          </w:r>
        </w:sdtContent>
      </w:sdt>
      <w:r w:rsidRPr="00EA2739">
        <w:rPr>
          <w:rFonts w:ascii="Calibri" w:eastAsia="Times New Roman" w:hAnsi="Calibri" w:cs="Calibri"/>
          <w:kern w:val="0"/>
          <w:lang w:val="en-KE" w:eastAsia="en-KE"/>
          <w14:ligatures w14:val="none"/>
        </w:rPr>
        <w:t xml:space="preserve">. Similarly, Microsoft explains that fault-tolerant systems “continue to operate properly in the event of the failure of some of its components” (Microsoft Azure Architecture </w:t>
      </w:r>
      <w:proofErr w:type="spellStart"/>
      <w:r w:rsidRPr="00EA2739">
        <w:rPr>
          <w:rFonts w:ascii="Calibri" w:eastAsia="Times New Roman" w:hAnsi="Calibri" w:cs="Calibri"/>
          <w:kern w:val="0"/>
          <w:lang w:val="en-KE" w:eastAsia="en-KE"/>
          <w14:ligatures w14:val="none"/>
        </w:rPr>
        <w:t>Center</w:t>
      </w:r>
      <w:proofErr w:type="spellEnd"/>
      <w:r w:rsidRPr="00EA2739">
        <w:rPr>
          <w:rFonts w:ascii="Calibri" w:eastAsia="Times New Roman" w:hAnsi="Calibri" w:cs="Calibri"/>
          <w:kern w:val="0"/>
          <w:lang w:val="en-KE" w:eastAsia="en-KE"/>
          <w14:ligatures w14:val="none"/>
        </w:rPr>
        <w:t>). These design practices directly serve the objective of embedding resilience early in system lifecycles, rather than reacting post-disruption.</w:t>
      </w:r>
    </w:p>
    <w:p w14:paraId="6E54EEB3" w14:textId="6F1AEE0A" w:rsidR="00EA2739"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At the operational level, this paper demonstrated how resilience metrics</w:t>
      </w:r>
      <w:r w:rsidR="002E0892" w:rsidRPr="004C1335">
        <w:rPr>
          <w:rFonts w:ascii="Calibri" w:eastAsia="Times New Roman" w:hAnsi="Calibri" w:cs="Calibri"/>
          <w:kern w:val="0"/>
          <w:lang w:val="en-KE" w:eastAsia="en-KE"/>
          <w14:ligatures w14:val="none"/>
        </w:rPr>
        <w:t>,</w:t>
      </w:r>
      <w:r w:rsidRPr="00EA2739">
        <w:rPr>
          <w:rFonts w:ascii="Calibri" w:eastAsia="Times New Roman" w:hAnsi="Calibri" w:cs="Calibri"/>
          <w:kern w:val="0"/>
          <w:lang w:val="en-KE" w:eastAsia="en-KE"/>
          <w14:ligatures w14:val="none"/>
        </w:rPr>
        <w:t xml:space="preserve"> such as Mean Time to Recover (MTTR), service continuity thresholds, and Data Integrity Loss (DIL)</w:t>
      </w:r>
      <w:r w:rsidR="002E0892" w:rsidRPr="004C1335">
        <w:rPr>
          <w:rFonts w:ascii="Calibri" w:eastAsia="Times New Roman" w:hAnsi="Calibri" w:cs="Calibri"/>
          <w:kern w:val="0"/>
          <w:lang w:val="en-KE" w:eastAsia="en-KE"/>
          <w14:ligatures w14:val="none"/>
        </w:rPr>
        <w:t>,</w:t>
      </w:r>
      <w:r w:rsidRPr="00EA2739">
        <w:rPr>
          <w:rFonts w:ascii="Calibri" w:eastAsia="Times New Roman" w:hAnsi="Calibri" w:cs="Calibri"/>
          <w:kern w:val="0"/>
          <w:lang w:val="en-KE" w:eastAsia="en-KE"/>
          <w14:ligatures w14:val="none"/>
        </w:rPr>
        <w:t xml:space="preserve"> can provide quantifiable indicators for regulators and organisations alike. The adoption of chaos engineering and adversarial simulations was shown to transform testing into a continuous learning mechanism. According to Netflix engineers, chaos experiments help ensure that </w:t>
      </w:r>
      <w:r w:rsidR="002E0892" w:rsidRPr="004C1335">
        <w:rPr>
          <w:rFonts w:ascii="Calibri" w:eastAsia="Times New Roman" w:hAnsi="Calibri" w:cs="Calibri"/>
          <w:kern w:val="0"/>
          <w:lang w:val="en-KE" w:eastAsia="en-KE"/>
          <w14:ligatures w14:val="none"/>
        </w:rPr>
        <w:t>their</w:t>
      </w:r>
      <w:r w:rsidRPr="00EA2739">
        <w:rPr>
          <w:rFonts w:ascii="Calibri" w:eastAsia="Times New Roman" w:hAnsi="Calibri" w:cs="Calibri"/>
          <w:kern w:val="0"/>
          <w:lang w:val="en-KE" w:eastAsia="en-KE"/>
          <w14:ligatures w14:val="none"/>
        </w:rPr>
        <w:t xml:space="preserve"> systems are prepared for the inevitable by validating that recovery mechanisms function under real-world conditions. When coupled with AI-driven anomaly detection and automated recovery playbooks, operational resilience becomes measurable, dynamic, and auditable</w:t>
      </w:r>
      <w:r w:rsidR="00DE6C62" w:rsidRPr="004C1335">
        <w:rPr>
          <w:rFonts w:ascii="Calibri" w:eastAsia="Times New Roman" w:hAnsi="Calibri" w:cs="Calibri"/>
          <w:kern w:val="0"/>
          <w:lang w:val="en-KE" w:eastAsia="en-KE"/>
          <w14:ligatures w14:val="none"/>
        </w:rPr>
        <w:t>,</w:t>
      </w:r>
      <w:r w:rsidRPr="00EA2739">
        <w:rPr>
          <w:rFonts w:ascii="Calibri" w:eastAsia="Times New Roman" w:hAnsi="Calibri" w:cs="Calibri"/>
          <w:kern w:val="0"/>
          <w:lang w:val="en-KE" w:eastAsia="en-KE"/>
          <w14:ligatures w14:val="none"/>
        </w:rPr>
        <w:t xml:space="preserve"> not an abstract assurance.</w:t>
      </w:r>
    </w:p>
    <w:p w14:paraId="34C3B75B" w14:textId="1C6ACFD6" w:rsidR="00373496" w:rsidRPr="002D3C8D"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At the governance</w:t>
      </w:r>
      <w:r w:rsidRPr="00EA2739">
        <w:rPr>
          <w:rFonts w:ascii="Calibri" w:eastAsia="Times New Roman" w:hAnsi="Calibri" w:cs="Calibri"/>
          <w:b/>
          <w:bCs/>
          <w:kern w:val="0"/>
          <w:lang w:val="en-KE" w:eastAsia="en-KE"/>
          <w14:ligatures w14:val="none"/>
        </w:rPr>
        <w:t xml:space="preserve"> </w:t>
      </w:r>
      <w:r w:rsidRPr="00EA2739">
        <w:rPr>
          <w:rFonts w:ascii="Calibri" w:eastAsia="Times New Roman" w:hAnsi="Calibri" w:cs="Calibri"/>
          <w:kern w:val="0"/>
          <w:lang w:val="en-KE" w:eastAsia="en-KE"/>
          <w14:ligatures w14:val="none"/>
        </w:rPr>
        <w:t xml:space="preserve">level, this study highlighted how institutional mechanisms such as Computer Emergency Response Teams (CERTs) and resilience audits can anchor systemic reliability. The African Union’s Digital Transformation Strategy (2020–2030) explicitly recognises that a secure and trusted digital environment is foundational to continental integration and industrialisation. Embedding resilience audits within compliance regimes, strengthening </w:t>
      </w:r>
      <w:proofErr w:type="spellStart"/>
      <w:r w:rsidRPr="00EA2739">
        <w:rPr>
          <w:rFonts w:ascii="Calibri" w:eastAsia="Times New Roman" w:hAnsi="Calibri" w:cs="Calibri"/>
          <w:kern w:val="0"/>
          <w:lang w:val="en-KE" w:eastAsia="en-KE"/>
          <w14:ligatures w14:val="none"/>
        </w:rPr>
        <w:t>CERTs’</w:t>
      </w:r>
      <w:proofErr w:type="spellEnd"/>
      <w:r w:rsidRPr="00EA2739">
        <w:rPr>
          <w:rFonts w:ascii="Calibri" w:eastAsia="Times New Roman" w:hAnsi="Calibri" w:cs="Calibri"/>
          <w:kern w:val="0"/>
          <w:lang w:val="en-KE" w:eastAsia="en-KE"/>
          <w14:ligatures w14:val="none"/>
        </w:rPr>
        <w:t xml:space="preserve"> mandates, and institutionalising public-private coordination are thus not optional enhancements</w:t>
      </w:r>
      <w:r w:rsidR="00CB6B59" w:rsidRPr="004C1335">
        <w:rPr>
          <w:rFonts w:ascii="Calibri" w:eastAsia="Times New Roman" w:hAnsi="Calibri" w:cs="Calibri"/>
          <w:kern w:val="0"/>
          <w:lang w:val="en-KE" w:eastAsia="en-KE"/>
          <w14:ligatures w14:val="none"/>
        </w:rPr>
        <w:t>,</w:t>
      </w:r>
      <w:r w:rsidRPr="00EA2739">
        <w:rPr>
          <w:rFonts w:ascii="Calibri" w:eastAsia="Times New Roman" w:hAnsi="Calibri" w:cs="Calibri"/>
          <w:kern w:val="0"/>
          <w:lang w:val="en-KE" w:eastAsia="en-KE"/>
          <w14:ligatures w14:val="none"/>
        </w:rPr>
        <w:t xml:space="preserve"> they are structural necessities for safeguarding Africa’s digital sovereignty.</w:t>
      </w:r>
    </w:p>
    <w:p w14:paraId="46476525" w14:textId="21D2F312" w:rsidR="00EA2739" w:rsidRPr="005F6DD8" w:rsidRDefault="00EA2739" w:rsidP="00D401A5">
      <w:pPr>
        <w:pStyle w:val="Heading2"/>
        <w:jc w:val="center"/>
        <w:rPr>
          <w:rFonts w:eastAsia="Times New Roman"/>
          <w:sz w:val="28"/>
          <w:szCs w:val="28"/>
          <w:lang w:val="en-KE" w:eastAsia="en-KE"/>
        </w:rPr>
      </w:pPr>
      <w:bookmarkStart w:id="28" w:name="_Toc213772630"/>
      <w:r w:rsidRPr="005F6DD8">
        <w:rPr>
          <w:rFonts w:eastAsia="Times New Roman"/>
          <w:sz w:val="28"/>
          <w:szCs w:val="28"/>
          <w:lang w:val="en-KE" w:eastAsia="en-KE"/>
        </w:rPr>
        <w:lastRenderedPageBreak/>
        <w:t>Implications for Africa’s Digital Sovereignty</w:t>
      </w:r>
      <w:bookmarkEnd w:id="28"/>
    </w:p>
    <w:p w14:paraId="3C00244B" w14:textId="45C8D19C" w:rsidR="00EA2739"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Resilience-by-Design extends beyond system engineering: it directly reinforces Africa’s digital sovereignty. Dependence on foreign infrastructure, cloud services, and cyber-defence expertise introduces vulnerabilities that undermine data autonomy and strategic independence. The European Union’s Cybersecurity Strategy for the Digital Decade (2020) warns that resilience and technological sovereignty are two sides of the same coin. For Africa, resilience frameworks that prioritise redundancy, localisation, and regional coordination ensure that states retain operational control over critical data flows even amid cross-border disruptions.</w:t>
      </w:r>
    </w:p>
    <w:p w14:paraId="6C7D21A4" w14:textId="1893D9FF" w:rsidR="00EA2739"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The policy alignment discussed in this paper</w:t>
      </w:r>
      <w:r w:rsidR="002F6BE2" w:rsidRPr="004C1335">
        <w:rPr>
          <w:rFonts w:ascii="Calibri" w:eastAsia="Times New Roman" w:hAnsi="Calibri" w:cs="Calibri"/>
          <w:kern w:val="0"/>
          <w:lang w:val="en-KE" w:eastAsia="en-KE"/>
          <w14:ligatures w14:val="none"/>
        </w:rPr>
        <w:t>,</w:t>
      </w:r>
      <w:r w:rsidRPr="00EA2739">
        <w:rPr>
          <w:rFonts w:ascii="Calibri" w:eastAsia="Times New Roman" w:hAnsi="Calibri" w:cs="Calibri"/>
          <w:kern w:val="0"/>
          <w:lang w:val="en-KE" w:eastAsia="en-KE"/>
          <w14:ligatures w14:val="none"/>
        </w:rPr>
        <w:t xml:space="preserve"> notably with the AU Data Policy Framework and Malabo Convention</w:t>
      </w:r>
      <w:r w:rsidR="002F6BE2" w:rsidRPr="004C1335">
        <w:rPr>
          <w:rFonts w:ascii="Calibri" w:eastAsia="Times New Roman" w:hAnsi="Calibri" w:cs="Calibri"/>
          <w:kern w:val="0"/>
          <w:lang w:val="en-KE" w:eastAsia="en-KE"/>
          <w14:ligatures w14:val="none"/>
        </w:rPr>
        <w:t>,</w:t>
      </w:r>
      <w:r w:rsidRPr="00EA2739">
        <w:rPr>
          <w:rFonts w:ascii="Calibri" w:eastAsia="Times New Roman" w:hAnsi="Calibri" w:cs="Calibri"/>
          <w:kern w:val="0"/>
          <w:lang w:val="en-KE" w:eastAsia="en-KE"/>
          <w14:ligatures w14:val="none"/>
        </w:rPr>
        <w:t xml:space="preserve"> provides a pathway for achieving that sovereignty. By requiring that resilience be embedded in the same legal instruments that safeguard privacy, Africa can move from data dependency to data stewardship, positioning itself as an equal participant in global digital governance rather than a passive consumer of imported norms.</w:t>
      </w:r>
    </w:p>
    <w:p w14:paraId="17808CF6" w14:textId="6DDC3D1B" w:rsidR="00EA2739" w:rsidRPr="00EA2739" w:rsidRDefault="00EA2739" w:rsidP="00EA2739">
      <w:pPr>
        <w:spacing w:before="100" w:beforeAutospacing="1" w:after="100" w:afterAutospacing="1" w:line="240" w:lineRule="auto"/>
        <w:jc w:val="both"/>
        <w:rPr>
          <w:rFonts w:ascii="Calibri" w:eastAsia="Times New Roman" w:hAnsi="Calibri" w:cs="Calibri"/>
          <w:i/>
          <w:iCs/>
          <w:kern w:val="0"/>
          <w:lang w:val="en-KE" w:eastAsia="en-KE"/>
          <w14:ligatures w14:val="none"/>
        </w:rPr>
      </w:pPr>
      <w:r w:rsidRPr="00EA2739">
        <w:rPr>
          <w:rFonts w:ascii="Calibri" w:eastAsia="Times New Roman" w:hAnsi="Calibri" w:cs="Calibri"/>
          <w:i/>
          <w:iCs/>
          <w:kern w:val="0"/>
          <w:lang w:val="en-KE" w:eastAsia="en-KE"/>
          <w14:ligatures w14:val="none"/>
        </w:rPr>
        <w:t>Bridging Technical and Legal Domains</w:t>
      </w:r>
    </w:p>
    <w:p w14:paraId="39AC80ED" w14:textId="77777777" w:rsidR="00EA2739"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A major contribution of this paper lies in its interdisciplinary synthesis of technical engineering and legal governance. While cybersecurity research often focuses on cryptographic defences or network security, and legal scholarship tends to emphasise privacy rights and compliance, this study integrates both dimensions under a unified resilience framework. The logic is straightforward: resilient systems are as much about institutional capability as they are about code and hardware.</w:t>
      </w:r>
    </w:p>
    <w:p w14:paraId="4A41EF17" w14:textId="764C74E5" w:rsidR="002D3C8D"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 xml:space="preserve">By treating resilience as a quantifiable complement to security, this paper provides regulators with actionable benchmarks rather than descriptive aspirations. For instance, resilience metrics can be incorporated into supervisory reporting templates, and resilience audits can become standard elements of licence renewals for data processors and controllers. </w:t>
      </w:r>
    </w:p>
    <w:p w14:paraId="4970552A" w14:textId="41613BDA" w:rsidR="00EA2739" w:rsidRPr="00EA2739" w:rsidRDefault="00EA2739" w:rsidP="00EA2739">
      <w:pPr>
        <w:spacing w:before="100" w:beforeAutospacing="1" w:after="100" w:afterAutospacing="1" w:line="240" w:lineRule="auto"/>
        <w:jc w:val="both"/>
        <w:rPr>
          <w:rFonts w:ascii="Calibri" w:eastAsia="Times New Roman" w:hAnsi="Calibri" w:cs="Calibri"/>
          <w:i/>
          <w:iCs/>
          <w:kern w:val="0"/>
          <w:lang w:val="en-KE" w:eastAsia="en-KE"/>
          <w14:ligatures w14:val="none"/>
        </w:rPr>
      </w:pPr>
      <w:r w:rsidRPr="00EA2739">
        <w:rPr>
          <w:rFonts w:ascii="Calibri" w:eastAsia="Times New Roman" w:hAnsi="Calibri" w:cs="Calibri"/>
          <w:i/>
          <w:iCs/>
          <w:kern w:val="0"/>
          <w:lang w:val="en-KE" w:eastAsia="en-KE"/>
          <w14:ligatures w14:val="none"/>
        </w:rPr>
        <w:t>Challenges and Future Research Directions</w:t>
      </w:r>
    </w:p>
    <w:p w14:paraId="75801228" w14:textId="77777777" w:rsidR="00EA2739"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Implementing a Resilience-by-Design paradigm across Africa is not without challenges.</w:t>
      </w:r>
    </w:p>
    <w:p w14:paraId="4D4589EF" w14:textId="77777777" w:rsidR="00EA2739" w:rsidRPr="00EA2739" w:rsidRDefault="00EA2739" w:rsidP="00EA2739">
      <w:pPr>
        <w:numPr>
          <w:ilvl w:val="0"/>
          <w:numId w:val="21"/>
        </w:num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Resource constraints: Many African states and organisations face financial and technical limitations that make high-end redundancy architectures costly. Future research should explore cost-efficient resilience models, leveraging open-source technologies and regional data hubs.</w:t>
      </w:r>
    </w:p>
    <w:p w14:paraId="7FC963F9" w14:textId="77777777" w:rsidR="00EA2739" w:rsidRPr="00EA2739" w:rsidRDefault="00EA2739" w:rsidP="00EA2739">
      <w:pPr>
        <w:numPr>
          <w:ilvl w:val="0"/>
          <w:numId w:val="21"/>
        </w:num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Capacity and skill gaps: The scarcity of cybersecurity engineers and resilience analysts poses an implementation bottleneck. Policymakers must invest in education, certification programmes, and cross-sector training, possibly through the Smart Africa Digital Academy.</w:t>
      </w:r>
    </w:p>
    <w:p w14:paraId="6C0D329A" w14:textId="77777777" w:rsidR="00EA2739" w:rsidRPr="00EA2739" w:rsidRDefault="00EA2739" w:rsidP="00EA2739">
      <w:pPr>
        <w:numPr>
          <w:ilvl w:val="0"/>
          <w:numId w:val="21"/>
        </w:num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lastRenderedPageBreak/>
        <w:t>Fragmented regulation: With varying stages of digital maturity and data protection adoption, aligning resilience standards remains difficult. Comparative empirical studies could investigate how regional harmonisation affects implementation costs and interoperability.</w:t>
      </w:r>
    </w:p>
    <w:p w14:paraId="515B348E" w14:textId="77777777" w:rsidR="00EA2739" w:rsidRPr="00EA2739" w:rsidRDefault="00EA2739" w:rsidP="00EA2739">
      <w:pPr>
        <w:numPr>
          <w:ilvl w:val="0"/>
          <w:numId w:val="21"/>
        </w:num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Emerging technologies: Artificial intelligence, quantum computing, and edge computing introduce new attack surfaces. Further research should analyse how resilience frameworks adapt to these evolving technologies while maintaining privacy and ethical safeguards.</w:t>
      </w:r>
    </w:p>
    <w:p w14:paraId="32FC1A1B" w14:textId="4EA6E7C4" w:rsidR="00EA2739"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Final Reflection</w:t>
      </w:r>
    </w:p>
    <w:p w14:paraId="7EF37246" w14:textId="0F5439C1" w:rsidR="00EA2739"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 xml:space="preserve">Resilient data systems are not merely protective </w:t>
      </w:r>
      <w:r w:rsidR="00EF1893" w:rsidRPr="004C1335">
        <w:rPr>
          <w:rFonts w:ascii="Calibri" w:eastAsia="Times New Roman" w:hAnsi="Calibri" w:cs="Calibri"/>
          <w:kern w:val="0"/>
          <w:lang w:val="en-KE" w:eastAsia="en-KE"/>
          <w14:ligatures w14:val="none"/>
        </w:rPr>
        <w:t>infrastructures;</w:t>
      </w:r>
      <w:r w:rsidRPr="00EA2739">
        <w:rPr>
          <w:rFonts w:ascii="Calibri" w:eastAsia="Times New Roman" w:hAnsi="Calibri" w:cs="Calibri"/>
          <w:kern w:val="0"/>
          <w:lang w:val="en-KE" w:eastAsia="en-KE"/>
          <w14:ligatures w14:val="none"/>
        </w:rPr>
        <w:t xml:space="preserve"> they are strategic enablers of inclusive digital transformation. In the context of Africa’s rapidly expanding digital economy, where fintech, e-governance, and e-health systems form the backbone of development, resilience determines whether these services can survive and recover from systemic shocks. The argument advanced here thus reframes resilience as a policy, technical, and moral imperative. It demands that African states not only secure their data but also ensure continuity, recoverability, and self-reliance in an interconnected global environment. The path forward lies in embedding resilience</w:t>
      </w:r>
      <w:r w:rsidR="00823EA1" w:rsidRPr="004C1335">
        <w:rPr>
          <w:rFonts w:ascii="Calibri" w:eastAsia="Times New Roman" w:hAnsi="Calibri" w:cs="Calibri"/>
          <w:kern w:val="0"/>
          <w:lang w:val="en-KE" w:eastAsia="en-KE"/>
          <w14:ligatures w14:val="none"/>
        </w:rPr>
        <w:t>,</w:t>
      </w:r>
      <w:r w:rsidRPr="00EA2739">
        <w:rPr>
          <w:rFonts w:ascii="Calibri" w:eastAsia="Times New Roman" w:hAnsi="Calibri" w:cs="Calibri"/>
          <w:kern w:val="0"/>
          <w:lang w:val="en-KE" w:eastAsia="en-KE"/>
          <w14:ligatures w14:val="none"/>
        </w:rPr>
        <w:t xml:space="preserve"> by design, by operation, and by governance</w:t>
      </w:r>
      <w:r w:rsidR="002333D2" w:rsidRPr="004C1335">
        <w:rPr>
          <w:rFonts w:ascii="Calibri" w:eastAsia="Times New Roman" w:hAnsi="Calibri" w:cs="Calibri"/>
          <w:kern w:val="0"/>
          <w:lang w:val="en-KE" w:eastAsia="en-KE"/>
          <w14:ligatures w14:val="none"/>
        </w:rPr>
        <w:t>,</w:t>
      </w:r>
      <w:r w:rsidRPr="00EA2739">
        <w:rPr>
          <w:rFonts w:ascii="Calibri" w:eastAsia="Times New Roman" w:hAnsi="Calibri" w:cs="Calibri"/>
          <w:kern w:val="0"/>
          <w:lang w:val="en-KE" w:eastAsia="en-KE"/>
          <w14:ligatures w14:val="none"/>
        </w:rPr>
        <w:t xml:space="preserve"> into every layer of the continent’s digital architecture.</w:t>
      </w:r>
    </w:p>
    <w:p w14:paraId="6D9A976D" w14:textId="1045D630" w:rsidR="002D3C8D" w:rsidRPr="00EA2739" w:rsidRDefault="00EA2739" w:rsidP="00EA2739">
      <w:pPr>
        <w:spacing w:before="100" w:beforeAutospacing="1" w:after="100" w:afterAutospacing="1" w:line="240" w:lineRule="auto"/>
        <w:jc w:val="both"/>
        <w:rPr>
          <w:rFonts w:ascii="Calibri" w:eastAsia="Times New Roman" w:hAnsi="Calibri" w:cs="Calibri"/>
          <w:kern w:val="0"/>
          <w:lang w:val="en-KE" w:eastAsia="en-KE"/>
          <w14:ligatures w14:val="none"/>
        </w:rPr>
      </w:pPr>
      <w:r w:rsidRPr="00EA2739">
        <w:rPr>
          <w:rFonts w:ascii="Calibri" w:eastAsia="Times New Roman" w:hAnsi="Calibri" w:cs="Calibri"/>
          <w:kern w:val="0"/>
          <w:lang w:val="en-KE" w:eastAsia="en-KE"/>
          <w14:ligatures w14:val="none"/>
        </w:rPr>
        <w:t>If adopted, this paradigm could transform Africa’s digital landscape from one vulnerable to external shocks into one capable of sustaining its ambitions for prosperity, inclusion, and autonomy.</w:t>
      </w:r>
    </w:p>
    <w:bookmarkStart w:id="29" w:name="_Toc213772631" w:displacedByCustomXml="next"/>
    <w:sdt>
      <w:sdtPr>
        <w:rPr>
          <w:rFonts w:ascii="Calibri" w:hAnsi="Calibri" w:cs="Calibri"/>
        </w:rPr>
        <w:id w:val="618261348"/>
        <w:docPartObj>
          <w:docPartGallery w:val="Bibliographies"/>
          <w:docPartUnique/>
        </w:docPartObj>
      </w:sdtPr>
      <w:sdtEndPr>
        <w:rPr>
          <w:rFonts w:eastAsiaTheme="minorHAnsi"/>
          <w:color w:val="auto"/>
          <w:sz w:val="24"/>
          <w:szCs w:val="24"/>
        </w:rPr>
      </w:sdtEndPr>
      <w:sdtContent>
        <w:p w14:paraId="2ABFBB2E" w14:textId="5F0236B6" w:rsidR="002333D2" w:rsidRPr="00373496" w:rsidRDefault="00373496" w:rsidP="00373496">
          <w:pPr>
            <w:pStyle w:val="Heading1"/>
            <w:jc w:val="center"/>
            <w:rPr>
              <w:rFonts w:ascii="Calibri" w:hAnsi="Calibri" w:cs="Calibri"/>
              <w:sz w:val="32"/>
              <w:szCs w:val="32"/>
            </w:rPr>
          </w:pPr>
          <w:r w:rsidRPr="00373496">
            <w:rPr>
              <w:rFonts w:ascii="Calibri" w:hAnsi="Calibri" w:cs="Calibri"/>
              <w:sz w:val="32"/>
              <w:szCs w:val="32"/>
            </w:rPr>
            <w:t>REFERENCES</w:t>
          </w:r>
          <w:bookmarkEnd w:id="29"/>
        </w:p>
        <w:sdt>
          <w:sdtPr>
            <w:rPr>
              <w:rFonts w:ascii="Calibri" w:hAnsi="Calibri" w:cs="Calibri"/>
            </w:rPr>
            <w:id w:val="-573587230"/>
            <w:bibliography/>
          </w:sdtPr>
          <w:sdtContent>
            <w:p w14:paraId="4471AC74" w14:textId="77777777" w:rsidR="002333D2" w:rsidRPr="004C1335" w:rsidRDefault="002333D2" w:rsidP="002D3C8D">
              <w:pPr>
                <w:pStyle w:val="Bibliography"/>
                <w:ind w:left="720" w:hanging="720"/>
                <w:jc w:val="both"/>
                <w:rPr>
                  <w:rFonts w:ascii="Calibri" w:hAnsi="Calibri" w:cs="Calibri"/>
                  <w:noProof/>
                  <w:kern w:val="0"/>
                  <w14:ligatures w14:val="none"/>
                </w:rPr>
              </w:pPr>
              <w:r w:rsidRPr="004C1335">
                <w:rPr>
                  <w:rFonts w:ascii="Calibri" w:hAnsi="Calibri" w:cs="Calibri"/>
                </w:rPr>
                <w:fldChar w:fldCharType="begin"/>
              </w:r>
              <w:r w:rsidRPr="004C1335">
                <w:rPr>
                  <w:rFonts w:ascii="Calibri" w:hAnsi="Calibri" w:cs="Calibri"/>
                </w:rPr>
                <w:instrText xml:space="preserve"> BIBLIOGRAPHY </w:instrText>
              </w:r>
              <w:r w:rsidRPr="004C1335">
                <w:rPr>
                  <w:rFonts w:ascii="Calibri" w:hAnsi="Calibri" w:cs="Calibri"/>
                </w:rPr>
                <w:fldChar w:fldCharType="separate"/>
              </w:r>
              <w:r w:rsidRPr="004C1335">
                <w:rPr>
                  <w:rFonts w:ascii="Calibri" w:hAnsi="Calibri" w:cs="Calibri"/>
                  <w:noProof/>
                </w:rPr>
                <w:t xml:space="preserve">(OCI), O. C. (2023). </w:t>
              </w:r>
              <w:r w:rsidRPr="004C1335">
                <w:rPr>
                  <w:rFonts w:ascii="Calibri" w:hAnsi="Calibri" w:cs="Calibri"/>
                  <w:i/>
                  <w:iCs/>
                  <w:noProof/>
                </w:rPr>
                <w:t>Resiliency Oracle Cloud Infrastructure: Cloud Adoption Framework</w:t>
              </w:r>
              <w:r w:rsidRPr="004C1335">
                <w:rPr>
                  <w:rFonts w:ascii="Calibri" w:hAnsi="Calibri" w:cs="Calibri"/>
                  <w:noProof/>
                </w:rPr>
                <w:t>. From Oracle Corporation: https://docs.oracle.com/en-us/iaas/Content/cloud-adoption-framework/era-resiliency.htm</w:t>
              </w:r>
            </w:p>
            <w:p w14:paraId="57F1C6F7"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(2025). From Atlassian: https://www.atlassian.com/incident-management/kpis/common-metrics</w:t>
              </w:r>
            </w:p>
            <w:p w14:paraId="716ACFFD"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Africa, T. R. (2013). </w:t>
              </w:r>
              <w:r w:rsidRPr="004C1335">
                <w:rPr>
                  <w:rFonts w:ascii="Calibri" w:hAnsi="Calibri" w:cs="Calibri"/>
                  <w:i/>
                  <w:iCs/>
                  <w:noProof/>
                </w:rPr>
                <w:t>Protection of Personal Information Act, 2013.</w:t>
              </w:r>
              <w:r w:rsidRPr="004C1335">
                <w:rPr>
                  <w:rFonts w:ascii="Calibri" w:hAnsi="Calibri" w:cs="Calibri"/>
                  <w:noProof/>
                </w:rPr>
                <w:t xml:space="preserve"> National Council for Law Reporting.</w:t>
              </w:r>
            </w:p>
            <w:p w14:paraId="29BA0A15"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Al-Said Ahmad, A. A.-Q. (2024). </w:t>
              </w:r>
              <w:r w:rsidRPr="004C1335">
                <w:rPr>
                  <w:rFonts w:ascii="Calibri" w:hAnsi="Calibri" w:cs="Calibri"/>
                  <w:i/>
                  <w:iCs/>
                  <w:noProof/>
                </w:rPr>
                <w:t>Exploring the impact of chaos engineering with various user loads on cloud native applications: An exploratory empirical study.</w:t>
              </w:r>
              <w:r w:rsidRPr="004C1335">
                <w:rPr>
                  <w:rFonts w:ascii="Calibri" w:hAnsi="Calibri" w:cs="Calibri"/>
                  <w:noProof/>
                </w:rPr>
                <w:t xml:space="preserve"> From Computing (Springer): https://link.springer.com/article/10.1007/s00607-024-01292-z</w:t>
              </w:r>
            </w:p>
            <w:p w14:paraId="61219421"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Andreoni, A. &amp;. (2022). Governing digital platform power for industrial development: Towards an entrepreneurial-regulatory state. </w:t>
              </w:r>
              <w:r w:rsidRPr="004C1335">
                <w:rPr>
                  <w:rFonts w:ascii="Calibri" w:hAnsi="Calibri" w:cs="Calibri"/>
                  <w:i/>
                  <w:iCs/>
                  <w:noProof/>
                </w:rPr>
                <w:t>Cambridge Journal of Economics</w:t>
              </w:r>
              <w:r w:rsidRPr="004C1335">
                <w:rPr>
                  <w:rFonts w:ascii="Calibri" w:hAnsi="Calibri" w:cs="Calibri"/>
                  <w:noProof/>
                </w:rPr>
                <w:t>. From Cambridge Journal of Economics: https://academic.oup.com/cje/article/46/6/1431/6832143</w:t>
              </w:r>
            </w:p>
            <w:p w14:paraId="603CA149"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lastRenderedPageBreak/>
                <w:t xml:space="preserve">Arugula, B. (2024). Architecting for Resilience: Designing Fault Tolerant Systems in Multi-Cloud Environments. </w:t>
              </w:r>
              <w:r w:rsidRPr="004C1335">
                <w:rPr>
                  <w:rFonts w:ascii="Calibri" w:hAnsi="Calibri" w:cs="Calibri"/>
                  <w:i/>
                  <w:iCs/>
                  <w:noProof/>
                </w:rPr>
                <w:t>International Journal of Emerging Trends in Computers</w:t>
              </w:r>
              <w:r w:rsidRPr="004C1335">
                <w:rPr>
                  <w:rFonts w:ascii="Calibri" w:hAnsi="Calibri" w:cs="Calibri"/>
                  <w:noProof/>
                </w:rPr>
                <w:t>.</w:t>
              </w:r>
            </w:p>
            <w:p w14:paraId="11044B8F"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Atlassian. (2024). Common Incident Management Metrics; MTBF, MTTR, MTTA. </w:t>
              </w:r>
              <w:r w:rsidRPr="004C1335">
                <w:rPr>
                  <w:rFonts w:ascii="Calibri" w:hAnsi="Calibri" w:cs="Calibri"/>
                  <w:i/>
                  <w:iCs/>
                  <w:noProof/>
                </w:rPr>
                <w:t>Atlassian Corporation Pla</w:t>
              </w:r>
              <w:r w:rsidRPr="004C1335">
                <w:rPr>
                  <w:rFonts w:ascii="Calibri" w:hAnsi="Calibri" w:cs="Calibri"/>
                  <w:noProof/>
                </w:rPr>
                <w:t>.</w:t>
              </w:r>
            </w:p>
            <w:p w14:paraId="6CD35ED9"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Basiri, A. B. (2017). </w:t>
              </w:r>
              <w:r w:rsidRPr="004C1335">
                <w:rPr>
                  <w:rFonts w:ascii="Calibri" w:hAnsi="Calibri" w:cs="Calibri"/>
                  <w:i/>
                  <w:iCs/>
                  <w:noProof/>
                </w:rPr>
                <w:t>Chaos Engineering.</w:t>
              </w:r>
              <w:r w:rsidRPr="004C1335">
                <w:rPr>
                  <w:rFonts w:ascii="Calibri" w:hAnsi="Calibri" w:cs="Calibri"/>
                  <w:noProof/>
                </w:rPr>
                <w:t xml:space="preserve"> arXiv .</w:t>
              </w:r>
            </w:p>
            <w:p w14:paraId="03EAA9FD"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Cloud, G. (2024). </w:t>
              </w:r>
              <w:r w:rsidRPr="004C1335">
                <w:rPr>
                  <w:rFonts w:ascii="Calibri" w:hAnsi="Calibri" w:cs="Calibri"/>
                  <w:i/>
                  <w:iCs/>
                  <w:noProof/>
                </w:rPr>
                <w:t>Well-Architected Framework: Reliability pillar</w:t>
              </w:r>
              <w:r w:rsidRPr="004C1335">
                <w:rPr>
                  <w:rFonts w:ascii="Calibri" w:hAnsi="Calibri" w:cs="Calibri"/>
                  <w:noProof/>
                </w:rPr>
                <w:t>. From Google Cloud: https://cloud.google.com/architecture/framework/reliability</w:t>
              </w:r>
            </w:p>
            <w:p w14:paraId="5C880BD3"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Costa, P. A. (2015). Medusa: An efficient cloud fault-tolerant MapReduce. </w:t>
              </w:r>
              <w:r w:rsidRPr="004C1335">
                <w:rPr>
                  <w:rFonts w:ascii="Calibri" w:hAnsi="Calibri" w:cs="Calibri"/>
                  <w:i/>
                  <w:iCs/>
                  <w:noProof/>
                </w:rPr>
                <w:t>arXiv (preprint repository)</w:t>
              </w:r>
              <w:r w:rsidRPr="004C1335">
                <w:rPr>
                  <w:rFonts w:ascii="Calibri" w:hAnsi="Calibri" w:cs="Calibri"/>
                  <w:noProof/>
                </w:rPr>
                <w:t>. From https://arxiv.org/abs/1511.07185</w:t>
              </w:r>
            </w:p>
            <w:p w14:paraId="6A3A9157"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Development, O. f.-o. (2022). Good governance for critical infrastructure resilience. </w:t>
              </w:r>
              <w:r w:rsidRPr="004C1335">
                <w:rPr>
                  <w:rFonts w:ascii="Calibri" w:hAnsi="Calibri" w:cs="Calibri"/>
                  <w:i/>
                  <w:iCs/>
                  <w:noProof/>
                </w:rPr>
                <w:t>OECD Publishing</w:t>
              </w:r>
              <w:r w:rsidRPr="004C1335">
                <w:rPr>
                  <w:rFonts w:ascii="Calibri" w:hAnsi="Calibri" w:cs="Calibri"/>
                  <w:noProof/>
                </w:rPr>
                <w:t>. From https://www.oecd.org/en/publications/good-governance-for-critical-infrastructure-resilience_02f0e5a0-en.html</w:t>
              </w:r>
            </w:p>
            <w:p w14:paraId="63E6A1D3"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Dušek, M. &amp;. (2025). </w:t>
              </w:r>
              <w:r w:rsidRPr="004C1335">
                <w:rPr>
                  <w:rFonts w:ascii="Calibri" w:hAnsi="Calibri" w:cs="Calibri"/>
                  <w:i/>
                  <w:iCs/>
                  <w:noProof/>
                </w:rPr>
                <w:t>World Economic Forum</w:t>
              </w:r>
              <w:r w:rsidRPr="004C1335">
                <w:rPr>
                  <w:rFonts w:ascii="Calibri" w:hAnsi="Calibri" w:cs="Calibri"/>
                  <w:noProof/>
                </w:rPr>
                <w:t>. From https://www.weforum.org/stories/2025/01/public-private-collaboration-building-resilience/</w:t>
              </w:r>
            </w:p>
            <w:p w14:paraId="21DB1916"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GeeksforGeeks. (2025). </w:t>
              </w:r>
              <w:r w:rsidRPr="004C1335">
                <w:rPr>
                  <w:rFonts w:ascii="Calibri" w:hAnsi="Calibri" w:cs="Calibri"/>
                  <w:i/>
                  <w:iCs/>
                  <w:noProof/>
                </w:rPr>
                <w:t>GeeksforGeeks</w:t>
              </w:r>
              <w:r w:rsidRPr="004C1335">
                <w:rPr>
                  <w:rFonts w:ascii="Calibri" w:hAnsi="Calibri" w:cs="Calibri"/>
                  <w:noProof/>
                </w:rPr>
                <w:t>. From Immutable Architecture Pattern - System Design: https://www.geeksforgeeks.org/system-design/immutable-architecture-pattern-system-design/</w:t>
              </w:r>
            </w:p>
            <w:p w14:paraId="6D5E1703"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Hariharan, R. (2025). Resilience Engineering in Distributed Cloud Architectures. </w:t>
              </w:r>
              <w:r w:rsidRPr="004C1335">
                <w:rPr>
                  <w:rFonts w:ascii="Calibri" w:hAnsi="Calibri" w:cs="Calibri"/>
                  <w:i/>
                  <w:iCs/>
                  <w:noProof/>
                </w:rPr>
                <w:t>International Journal of Engineering Architecture</w:t>
              </w:r>
              <w:r w:rsidRPr="004C1335">
                <w:rPr>
                  <w:rFonts w:ascii="Calibri" w:hAnsi="Calibri" w:cs="Calibri"/>
                  <w:noProof/>
                </w:rPr>
                <w:t>.</w:t>
              </w:r>
            </w:p>
            <w:p w14:paraId="4DA5CCDE"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IBM. (2023). </w:t>
              </w:r>
              <w:r w:rsidRPr="004C1335">
                <w:rPr>
                  <w:rFonts w:ascii="Calibri" w:hAnsi="Calibri" w:cs="Calibri"/>
                  <w:i/>
                  <w:iCs/>
                  <w:noProof/>
                </w:rPr>
                <w:t>What is Mean Time to Repair (MTTR)?</w:t>
              </w:r>
              <w:r w:rsidRPr="004C1335">
                <w:rPr>
                  <w:rFonts w:ascii="Calibri" w:hAnsi="Calibri" w:cs="Calibri"/>
                  <w:noProof/>
                </w:rPr>
                <w:t xml:space="preserve"> From IBM: https://www.ibm.com/think/topics/mttr</w:t>
              </w:r>
            </w:p>
            <w:p w14:paraId="6CB1475F"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Kamanda, K. (2025). From CIO Africa (Chief Information Officer Africa Ltd.): https://cioafrica.co/fortifying-kenyas-data-protection-ecosystem/?utm_source=chatgpt.com</w:t>
              </w:r>
            </w:p>
            <w:p w14:paraId="680C08D6"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Kenya, R. o. (2019). </w:t>
              </w:r>
              <w:r w:rsidRPr="004C1335">
                <w:rPr>
                  <w:rFonts w:ascii="Calibri" w:hAnsi="Calibri" w:cs="Calibri"/>
                  <w:i/>
                  <w:iCs/>
                  <w:noProof/>
                </w:rPr>
                <w:t>Data Protection Act, No. 24 of 2019.</w:t>
              </w:r>
              <w:r w:rsidRPr="004C1335">
                <w:rPr>
                  <w:rFonts w:ascii="Calibri" w:hAnsi="Calibri" w:cs="Calibri"/>
                  <w:noProof/>
                </w:rPr>
                <w:t xml:space="preserve"> Nairobi, Kenya: Kenya Gazette Vol. CXXI—No. 156.</w:t>
              </w:r>
            </w:p>
            <w:p w14:paraId="30BBE75D"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Kenya, T. R. (2021). </w:t>
              </w:r>
              <w:r w:rsidRPr="004C1335">
                <w:rPr>
                  <w:rFonts w:ascii="Calibri" w:hAnsi="Calibri" w:cs="Calibri"/>
                  <w:i/>
                  <w:iCs/>
                  <w:noProof/>
                </w:rPr>
                <w:t>The Data Protection (General) Regulations, 2021.</w:t>
              </w:r>
              <w:r w:rsidRPr="004C1335">
                <w:rPr>
                  <w:rFonts w:ascii="Calibri" w:hAnsi="Calibri" w:cs="Calibri"/>
                  <w:noProof/>
                </w:rPr>
                <w:t xml:space="preserve"> Nairobi: Government Printer.</w:t>
              </w:r>
            </w:p>
            <w:p w14:paraId="33A7AAA9"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Konstantinou, C. S.-V. (2021). </w:t>
              </w:r>
              <w:r w:rsidRPr="004C1335">
                <w:rPr>
                  <w:rFonts w:ascii="Calibri" w:hAnsi="Calibri" w:cs="Calibri"/>
                  <w:i/>
                  <w:iCs/>
                  <w:noProof/>
                </w:rPr>
                <w:t>Chaos Engineering for Enhanced Resilience of Cyber-Physical Systems.</w:t>
              </w:r>
              <w:r w:rsidRPr="004C1335">
                <w:rPr>
                  <w:rFonts w:ascii="Calibri" w:hAnsi="Calibri" w:cs="Calibri"/>
                  <w:noProof/>
                </w:rPr>
                <w:t xml:space="preserve"> From arXiv (pre-print repository): https://arxiv.org/abs/2106.14962</w:t>
              </w:r>
            </w:p>
            <w:p w14:paraId="424AE0FF"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lastRenderedPageBreak/>
                <w:t xml:space="preserve">Mhlongo, E. T. (2023). DEVELOPING RESILIENT IT SYSTEMS WITH CHAOS ENGINEERING AND AUTOMATED RECOVERY PROTOCOLS - Volume 6 | Issue 3. </w:t>
              </w:r>
              <w:r w:rsidRPr="004C1335">
                <w:rPr>
                  <w:rFonts w:ascii="Calibri" w:hAnsi="Calibri" w:cs="Calibri"/>
                  <w:i/>
                  <w:iCs/>
                  <w:noProof/>
                </w:rPr>
                <w:t>International Journal of Innovative Technology &amp; Research Development (IJITRD)</w:t>
              </w:r>
              <w:r w:rsidRPr="004C1335">
                <w:rPr>
                  <w:rFonts w:ascii="Calibri" w:hAnsi="Calibri" w:cs="Calibri"/>
                  <w:noProof/>
                </w:rPr>
                <w:t>.</w:t>
              </w:r>
            </w:p>
            <w:p w14:paraId="4DA67B0A"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Network, I. G. (2022). </w:t>
              </w:r>
              <w:r w:rsidRPr="004C1335">
                <w:rPr>
                  <w:rFonts w:ascii="Calibri" w:hAnsi="Calibri" w:cs="Calibri"/>
                  <w:i/>
                  <w:iCs/>
                  <w:noProof/>
                </w:rPr>
                <w:t>The 8 design principles of a zero trust network</w:t>
              </w:r>
              <w:r w:rsidRPr="004C1335">
                <w:rPr>
                  <w:rFonts w:ascii="Calibri" w:hAnsi="Calibri" w:cs="Calibri"/>
                  <w:noProof/>
                </w:rPr>
                <w:t>. From IoT Global Network: https://www.iotglobalnetwork.com/iotdir/2022/05/13/the-8-design-principles-of-a-zero-trust-network-37235/</w:t>
              </w:r>
            </w:p>
            <w:p w14:paraId="06CB17C3"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Networks, P. A. (2024). </w:t>
              </w:r>
              <w:r w:rsidRPr="004C1335">
                <w:rPr>
                  <w:rFonts w:ascii="Calibri" w:hAnsi="Calibri" w:cs="Calibri"/>
                  <w:i/>
                  <w:iCs/>
                  <w:noProof/>
                </w:rPr>
                <w:t>What is Zero Trust Architecture (ZTA)</w:t>
              </w:r>
              <w:r w:rsidRPr="004C1335">
                <w:rPr>
                  <w:rFonts w:ascii="Calibri" w:hAnsi="Calibri" w:cs="Calibri"/>
                  <w:noProof/>
                </w:rPr>
                <w:t>. From Palo Alto Networks: https://www.paloaltonetworks.com/cyberpedia/what-is-a-zero-trust-architecture</w:t>
              </w:r>
            </w:p>
            <w:p w14:paraId="385B413F"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Njoya, S. (2025). </w:t>
              </w:r>
              <w:r w:rsidRPr="004C1335">
                <w:rPr>
                  <w:rFonts w:ascii="Calibri" w:hAnsi="Calibri" w:cs="Calibri"/>
                  <w:i/>
                  <w:iCs/>
                  <w:noProof/>
                </w:rPr>
                <w:t>Smart Africa signs new pact with Kaspersky to secure Africa’s digital future.</w:t>
              </w:r>
              <w:r w:rsidRPr="004C1335">
                <w:rPr>
                  <w:rFonts w:ascii="Calibri" w:hAnsi="Calibri" w:cs="Calibri"/>
                  <w:noProof/>
                </w:rPr>
                <w:t xml:space="preserve"> From We Are Tech Africa: https://www.wearetech.africa/en/fils-uk/news/tech/smart-africa-signs-new-pact-with-kapersky-to-secure-africas-digital-future</w:t>
              </w:r>
            </w:p>
            <w:p w14:paraId="1FE2EA93"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Numbers, I. C. (2024). </w:t>
              </w:r>
              <w:r w:rsidRPr="004C1335">
                <w:rPr>
                  <w:rFonts w:ascii="Calibri" w:hAnsi="Calibri" w:cs="Calibri"/>
                  <w:i/>
                  <w:iCs/>
                  <w:noProof/>
                </w:rPr>
                <w:t>ICANN and Smart Africa collaborate to boost Internet governance across Africa</w:t>
              </w:r>
              <w:r w:rsidRPr="004C1335">
                <w:rPr>
                  <w:rFonts w:ascii="Calibri" w:hAnsi="Calibri" w:cs="Calibri"/>
                  <w:noProof/>
                </w:rPr>
                <w:t>. From Internet Corporation for Assigned Names and Numbers: https://www.icann.org/resources/press-material/release-2024-11-13-en</w:t>
              </w:r>
            </w:p>
            <w:p w14:paraId="5F4DD754"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Oduri, S. (2025). </w:t>
              </w:r>
              <w:r w:rsidRPr="004C1335">
                <w:rPr>
                  <w:rFonts w:ascii="Calibri" w:hAnsi="Calibri" w:cs="Calibri"/>
                  <w:i/>
                  <w:iCs/>
                  <w:noProof/>
                </w:rPr>
                <w:t>Engineering resilience: Cloud-native design patterns for fault-tolerant systems.</w:t>
              </w:r>
              <w:r w:rsidRPr="004C1335">
                <w:rPr>
                  <w:rFonts w:ascii="Calibri" w:hAnsi="Calibri" w:cs="Calibri"/>
                  <w:noProof/>
                </w:rPr>
                <w:t xml:space="preserve"> From Communications on Applied Nonlinear Analysis: https://internationalpubls.com/index.php/cana/article/view/5958</w:t>
              </w:r>
            </w:p>
            <w:p w14:paraId="484A87C2"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Opara, L. C., Akatakpo, O. N., Ironuru, I. C., Anyaene, K., &amp; Enobakhare, B. O. (2025). Chaos Engineering 2.0: A Review of AI-Driven, Policy-Guided Resilience for Multi-Cloud Systems. </w:t>
              </w:r>
              <w:r w:rsidRPr="004C1335">
                <w:rPr>
                  <w:rFonts w:ascii="Calibri" w:hAnsi="Calibri" w:cs="Calibri"/>
                  <w:i/>
                  <w:iCs/>
                  <w:noProof/>
                </w:rPr>
                <w:t>Journal of Computer, Software, and Program (Stecab Publishing)</w:t>
              </w:r>
              <w:r w:rsidRPr="004C1335">
                <w:rPr>
                  <w:rFonts w:ascii="Calibri" w:hAnsi="Calibri" w:cs="Calibri"/>
                  <w:noProof/>
                </w:rPr>
                <w:t>. From https://journals.stecab.com/jcsp/article/view/846</w:t>
              </w:r>
            </w:p>
            <w:p w14:paraId="6E46F9F0"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PricewaterhouseCoopers (PwC) Kenya. (2024). </w:t>
              </w:r>
              <w:r w:rsidRPr="004C1335">
                <w:rPr>
                  <w:rFonts w:ascii="Calibri" w:hAnsi="Calibri" w:cs="Calibri"/>
                  <w:i/>
                  <w:iCs/>
                  <w:noProof/>
                </w:rPr>
                <w:t>East Africa Digital Trust Insights: Strengthening Cyber Defences.</w:t>
              </w:r>
              <w:r w:rsidRPr="004C1335">
                <w:rPr>
                  <w:rFonts w:ascii="Calibri" w:hAnsi="Calibri" w:cs="Calibri"/>
                  <w:noProof/>
                </w:rPr>
                <w:t xml:space="preserve"> Nairobi, Kenya: PwC Kenya.</w:t>
              </w:r>
            </w:p>
            <w:p w14:paraId="33EF4B93"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Raza, M. (2024, December 05). From Splunk: https://www.splunk.com/en_us/blog/learn/mttr-mean-time-to-repair.html</w:t>
              </w:r>
            </w:p>
            <w:p w14:paraId="7E3302B7"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Regulation, D. (2021). </w:t>
              </w:r>
              <w:r w:rsidRPr="004C1335">
                <w:rPr>
                  <w:rFonts w:ascii="Calibri" w:hAnsi="Calibri" w:cs="Calibri"/>
                  <w:i/>
                  <w:iCs/>
                  <w:noProof/>
                </w:rPr>
                <w:t>Enhancing the protection and cyber-resilience of critical information infrastructure</w:t>
              </w:r>
              <w:r w:rsidRPr="004C1335">
                <w:rPr>
                  <w:rFonts w:ascii="Calibri" w:hAnsi="Calibri" w:cs="Calibri"/>
                  <w:noProof/>
                </w:rPr>
                <w:t>. From Digital Regulation Platform.</w:t>
              </w:r>
            </w:p>
            <w:p w14:paraId="05FC2F27"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Resolve.AI. (2024). </w:t>
              </w:r>
              <w:r w:rsidRPr="004C1335">
                <w:rPr>
                  <w:rFonts w:ascii="Calibri" w:hAnsi="Calibri" w:cs="Calibri"/>
                  <w:i/>
                  <w:iCs/>
                  <w:noProof/>
                </w:rPr>
                <w:t>What is MTTR?</w:t>
              </w:r>
              <w:r w:rsidRPr="004C1335">
                <w:rPr>
                  <w:rFonts w:ascii="Calibri" w:hAnsi="Calibri" w:cs="Calibri"/>
                  <w:noProof/>
                </w:rPr>
                <w:t xml:space="preserve"> From Resolve.AI: https://resolve.ai/glossary/what-is-mttr</w:t>
              </w:r>
            </w:p>
            <w:p w14:paraId="36A9AAA2"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Rose, S., Borchert, O., Mitchell, S., &amp; Connelly, S. (2020). Zero Trust Architecture (NIST Special Publication 800-207). </w:t>
              </w:r>
              <w:r w:rsidRPr="004C1335">
                <w:rPr>
                  <w:rFonts w:ascii="Calibri" w:hAnsi="Calibri" w:cs="Calibri"/>
                  <w:i/>
                  <w:iCs/>
                  <w:noProof/>
                </w:rPr>
                <w:t>National Institute of Standards and Technology, U.S. Department of Commerce.</w:t>
              </w:r>
              <w:r w:rsidRPr="004C1335">
                <w:rPr>
                  <w:rFonts w:ascii="Calibri" w:hAnsi="Calibri" w:cs="Calibri"/>
                  <w:noProof/>
                </w:rPr>
                <w:t xml:space="preserve"> </w:t>
              </w:r>
            </w:p>
            <w:p w14:paraId="2603DCEC"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lastRenderedPageBreak/>
                <w:t xml:space="preserve">Scality. (2025). </w:t>
              </w:r>
              <w:r w:rsidRPr="004C1335">
                <w:rPr>
                  <w:rFonts w:ascii="Calibri" w:hAnsi="Calibri" w:cs="Calibri"/>
                  <w:i/>
                  <w:iCs/>
                  <w:noProof/>
                </w:rPr>
                <w:t>CORE5 | Resilience</w:t>
              </w:r>
              <w:r w:rsidRPr="004C1335">
                <w:rPr>
                  <w:rFonts w:ascii="Calibri" w:hAnsi="Calibri" w:cs="Calibri"/>
                  <w:noProof/>
                </w:rPr>
                <w:t>. From Scality: https://www.scality.com/core5-resilience/</w:t>
              </w:r>
            </w:p>
            <w:p w14:paraId="7D3F1BED"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Sullivan, P. (2024, January 05). From Tech Target: https://www.techtarget.com/whatis/definition/CERT-Computer-Emergency-Readiness-Team</w:t>
              </w:r>
            </w:p>
            <w:p w14:paraId="791F5D43"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The World Bank Group. (2022). </w:t>
              </w:r>
              <w:r w:rsidRPr="004C1335">
                <w:rPr>
                  <w:rFonts w:ascii="Calibri" w:hAnsi="Calibri" w:cs="Calibri"/>
                  <w:i/>
                  <w:iCs/>
                  <w:noProof/>
                </w:rPr>
                <w:t>Digital Economy for Africa.</w:t>
              </w:r>
              <w:r w:rsidRPr="004C1335">
                <w:rPr>
                  <w:rFonts w:ascii="Calibri" w:hAnsi="Calibri" w:cs="Calibri"/>
                  <w:noProof/>
                </w:rPr>
                <w:t xml:space="preserve"> Washington, DC.</w:t>
              </w:r>
            </w:p>
            <w:p w14:paraId="4349D172" w14:textId="77777777" w:rsidR="002333D2" w:rsidRPr="004C1335" w:rsidRDefault="002333D2" w:rsidP="002333D2">
              <w:pPr>
                <w:pStyle w:val="Bibliography"/>
                <w:ind w:left="720" w:hanging="720"/>
                <w:rPr>
                  <w:rFonts w:ascii="Calibri" w:hAnsi="Calibri" w:cs="Calibri"/>
                  <w:noProof/>
                </w:rPr>
              </w:pPr>
              <w:r w:rsidRPr="004C1335">
                <w:rPr>
                  <w:rFonts w:ascii="Calibri" w:hAnsi="Calibri" w:cs="Calibri"/>
                  <w:noProof/>
                </w:rPr>
                <w:t xml:space="preserve">Union, A. (2014). </w:t>
              </w:r>
              <w:r w:rsidRPr="004C1335">
                <w:rPr>
                  <w:rFonts w:ascii="Calibri" w:hAnsi="Calibri" w:cs="Calibri"/>
                  <w:i/>
                  <w:iCs/>
                  <w:noProof/>
                </w:rPr>
                <w:t>African Union Convention on Cyber Security and Personal Data Protection (Malabo Convention.</w:t>
              </w:r>
              <w:r w:rsidRPr="004C1335">
                <w:rPr>
                  <w:rFonts w:ascii="Calibri" w:hAnsi="Calibri" w:cs="Calibri"/>
                  <w:noProof/>
                </w:rPr>
                <w:t xml:space="preserve"> African Union.</w:t>
              </w:r>
            </w:p>
            <w:p w14:paraId="7A077035" w14:textId="2C27B65C" w:rsidR="00952922" w:rsidRPr="000A5E60" w:rsidRDefault="002333D2" w:rsidP="000A5E60">
              <w:pPr>
                <w:rPr>
                  <w:rFonts w:ascii="Calibri" w:hAnsi="Calibri" w:cs="Calibri"/>
                </w:rPr>
              </w:pPr>
              <w:r w:rsidRPr="004C1335">
                <w:rPr>
                  <w:rFonts w:ascii="Calibri" w:hAnsi="Calibri" w:cs="Calibri"/>
                  <w:b/>
                  <w:bCs/>
                  <w:noProof/>
                </w:rPr>
                <w:fldChar w:fldCharType="end"/>
              </w:r>
            </w:p>
          </w:sdtContent>
        </w:sdt>
      </w:sdtContent>
    </w:sdt>
    <w:p w14:paraId="12C2239D" w14:textId="77777777" w:rsidR="00241768" w:rsidRPr="004C1335" w:rsidRDefault="00241768" w:rsidP="004C1335">
      <w:pPr>
        <w:spacing w:after="240" w:line="240" w:lineRule="auto"/>
        <w:rPr>
          <w:rFonts w:ascii="Calibri" w:hAnsi="Calibri" w:cs="Calibri"/>
        </w:rPr>
      </w:pPr>
    </w:p>
    <w:sectPr w:rsidR="00241768" w:rsidRPr="004C1335" w:rsidSect="000B5337">
      <w:footerReference w:type="default" r:id="rId18"/>
      <w:pgSz w:w="11906" w:h="16838"/>
      <w:pgMar w:top="1418" w:right="1418" w:bottom="1418"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2632BC" w14:textId="77777777" w:rsidR="00BD3E30" w:rsidRDefault="00BD3E30" w:rsidP="00704C4F">
      <w:pPr>
        <w:spacing w:after="0" w:line="240" w:lineRule="auto"/>
      </w:pPr>
      <w:r>
        <w:separator/>
      </w:r>
    </w:p>
  </w:endnote>
  <w:endnote w:type="continuationSeparator" w:id="0">
    <w:p w14:paraId="4A83BF71" w14:textId="77777777" w:rsidR="00BD3E30" w:rsidRDefault="00BD3E30" w:rsidP="00704C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06577338"/>
      <w:docPartObj>
        <w:docPartGallery w:val="Page Numbers (Bottom of Page)"/>
        <w:docPartUnique/>
      </w:docPartObj>
    </w:sdtPr>
    <w:sdtEndPr>
      <w:rPr>
        <w:noProof/>
      </w:rPr>
    </w:sdtEndPr>
    <w:sdtContent>
      <w:p w14:paraId="39B029B3" w14:textId="4AAF5A99" w:rsidR="00704C4F" w:rsidRDefault="00704C4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ACB38F9" w14:textId="77777777" w:rsidR="00704C4F" w:rsidRDefault="00704C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2DFD91" w14:textId="77777777" w:rsidR="00BD3E30" w:rsidRDefault="00BD3E30" w:rsidP="00704C4F">
      <w:pPr>
        <w:spacing w:after="0" w:line="240" w:lineRule="auto"/>
      </w:pPr>
      <w:r>
        <w:separator/>
      </w:r>
    </w:p>
  </w:footnote>
  <w:footnote w:type="continuationSeparator" w:id="0">
    <w:p w14:paraId="4449B51B" w14:textId="77777777" w:rsidR="00BD3E30" w:rsidRDefault="00BD3E30" w:rsidP="00704C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5372A"/>
    <w:multiLevelType w:val="multilevel"/>
    <w:tmpl w:val="2A72B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DD03A2"/>
    <w:multiLevelType w:val="multilevel"/>
    <w:tmpl w:val="3B8E25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6F72652"/>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7F42A4"/>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180365"/>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90547D"/>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1F5A78"/>
    <w:multiLevelType w:val="multilevel"/>
    <w:tmpl w:val="F07C7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592625"/>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11C1E08"/>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7FF52F7"/>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19F0B88"/>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B41EF0"/>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E5474B"/>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9415730"/>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BD82A47"/>
    <w:multiLevelType w:val="multilevel"/>
    <w:tmpl w:val="1B748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E0D430F"/>
    <w:multiLevelType w:val="multilevel"/>
    <w:tmpl w:val="B532B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255088B"/>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2E218C2"/>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98407B5"/>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B4B3DFC"/>
    <w:multiLevelType w:val="multilevel"/>
    <w:tmpl w:val="FE06FA2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B553109"/>
    <w:multiLevelType w:val="multilevel"/>
    <w:tmpl w:val="DA6E2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950815699">
    <w:abstractNumId w:val="20"/>
  </w:num>
  <w:num w:numId="2" w16cid:durableId="59251398">
    <w:abstractNumId w:val="6"/>
  </w:num>
  <w:num w:numId="3" w16cid:durableId="1857230245">
    <w:abstractNumId w:val="14"/>
  </w:num>
  <w:num w:numId="4" w16cid:durableId="1317950183">
    <w:abstractNumId w:val="0"/>
  </w:num>
  <w:num w:numId="5" w16cid:durableId="807282556">
    <w:abstractNumId w:val="4"/>
  </w:num>
  <w:num w:numId="6" w16cid:durableId="2107339829">
    <w:abstractNumId w:val="18"/>
  </w:num>
  <w:num w:numId="7" w16cid:durableId="1362048388">
    <w:abstractNumId w:val="17"/>
  </w:num>
  <w:num w:numId="8" w16cid:durableId="1127772522">
    <w:abstractNumId w:val="11"/>
  </w:num>
  <w:num w:numId="9" w16cid:durableId="1015418743">
    <w:abstractNumId w:val="7"/>
  </w:num>
  <w:num w:numId="10" w16cid:durableId="2002270623">
    <w:abstractNumId w:val="15"/>
  </w:num>
  <w:num w:numId="11" w16cid:durableId="312760260">
    <w:abstractNumId w:val="5"/>
  </w:num>
  <w:num w:numId="12" w16cid:durableId="1726875608">
    <w:abstractNumId w:val="13"/>
  </w:num>
  <w:num w:numId="13" w16cid:durableId="411659153">
    <w:abstractNumId w:val="2"/>
  </w:num>
  <w:num w:numId="14" w16cid:durableId="1863089581">
    <w:abstractNumId w:val="16"/>
  </w:num>
  <w:num w:numId="15" w16cid:durableId="1062018862">
    <w:abstractNumId w:val="3"/>
  </w:num>
  <w:num w:numId="16" w16cid:durableId="63183919">
    <w:abstractNumId w:val="10"/>
  </w:num>
  <w:num w:numId="17" w16cid:durableId="1236815731">
    <w:abstractNumId w:val="19"/>
  </w:num>
  <w:num w:numId="18" w16cid:durableId="514854120">
    <w:abstractNumId w:val="9"/>
  </w:num>
  <w:num w:numId="19" w16cid:durableId="969474963">
    <w:abstractNumId w:val="12"/>
  </w:num>
  <w:num w:numId="20" w16cid:durableId="1049494830">
    <w:abstractNumId w:val="8"/>
  </w:num>
  <w:num w:numId="21" w16cid:durableId="114570839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1768"/>
    <w:rsid w:val="00002A01"/>
    <w:rsid w:val="00017775"/>
    <w:rsid w:val="00017DFB"/>
    <w:rsid w:val="0002776B"/>
    <w:rsid w:val="0003274D"/>
    <w:rsid w:val="0004367E"/>
    <w:rsid w:val="00043D52"/>
    <w:rsid w:val="00053CCB"/>
    <w:rsid w:val="0006416E"/>
    <w:rsid w:val="00066ECD"/>
    <w:rsid w:val="000674A0"/>
    <w:rsid w:val="00087A51"/>
    <w:rsid w:val="00092281"/>
    <w:rsid w:val="00094336"/>
    <w:rsid w:val="000A5E60"/>
    <w:rsid w:val="000A6B9F"/>
    <w:rsid w:val="000B5337"/>
    <w:rsid w:val="000B7867"/>
    <w:rsid w:val="000C07F2"/>
    <w:rsid w:val="000C6D41"/>
    <w:rsid w:val="000C79B5"/>
    <w:rsid w:val="00104DA7"/>
    <w:rsid w:val="00120E91"/>
    <w:rsid w:val="00127440"/>
    <w:rsid w:val="001413BB"/>
    <w:rsid w:val="00142506"/>
    <w:rsid w:val="00146EAA"/>
    <w:rsid w:val="00151901"/>
    <w:rsid w:val="001532AD"/>
    <w:rsid w:val="001877B9"/>
    <w:rsid w:val="001957CB"/>
    <w:rsid w:val="001A1712"/>
    <w:rsid w:val="001A4435"/>
    <w:rsid w:val="001B2611"/>
    <w:rsid w:val="001C00A4"/>
    <w:rsid w:val="001C7F41"/>
    <w:rsid w:val="001D0726"/>
    <w:rsid w:val="001D2C83"/>
    <w:rsid w:val="001D4D7F"/>
    <w:rsid w:val="001D7933"/>
    <w:rsid w:val="001D7DFA"/>
    <w:rsid w:val="001E1C1D"/>
    <w:rsid w:val="001E2637"/>
    <w:rsid w:val="00201275"/>
    <w:rsid w:val="00202DD9"/>
    <w:rsid w:val="0020565A"/>
    <w:rsid w:val="0021197E"/>
    <w:rsid w:val="002333D2"/>
    <w:rsid w:val="00240993"/>
    <w:rsid w:val="00241768"/>
    <w:rsid w:val="002544EB"/>
    <w:rsid w:val="0025477A"/>
    <w:rsid w:val="002547DB"/>
    <w:rsid w:val="00254D9B"/>
    <w:rsid w:val="0027185F"/>
    <w:rsid w:val="002730F1"/>
    <w:rsid w:val="0027365B"/>
    <w:rsid w:val="0028048A"/>
    <w:rsid w:val="00293951"/>
    <w:rsid w:val="002B02DC"/>
    <w:rsid w:val="002B3EDC"/>
    <w:rsid w:val="002B49FE"/>
    <w:rsid w:val="002B4D1E"/>
    <w:rsid w:val="002C3369"/>
    <w:rsid w:val="002C5B2C"/>
    <w:rsid w:val="002C5BC2"/>
    <w:rsid w:val="002C671F"/>
    <w:rsid w:val="002D1063"/>
    <w:rsid w:val="002D17CC"/>
    <w:rsid w:val="002D3C8D"/>
    <w:rsid w:val="002D4AAC"/>
    <w:rsid w:val="002E0892"/>
    <w:rsid w:val="002E3698"/>
    <w:rsid w:val="002F0F8E"/>
    <w:rsid w:val="002F2B19"/>
    <w:rsid w:val="002F6BE2"/>
    <w:rsid w:val="002F786A"/>
    <w:rsid w:val="003055C9"/>
    <w:rsid w:val="003135F9"/>
    <w:rsid w:val="003564E8"/>
    <w:rsid w:val="00373496"/>
    <w:rsid w:val="00374FDA"/>
    <w:rsid w:val="003A328B"/>
    <w:rsid w:val="003B097D"/>
    <w:rsid w:val="003B3CDF"/>
    <w:rsid w:val="003C48BD"/>
    <w:rsid w:val="003C4DEF"/>
    <w:rsid w:val="003C6849"/>
    <w:rsid w:val="003C7E78"/>
    <w:rsid w:val="003D558F"/>
    <w:rsid w:val="003F5CA2"/>
    <w:rsid w:val="003F6469"/>
    <w:rsid w:val="00400E3E"/>
    <w:rsid w:val="00401423"/>
    <w:rsid w:val="004072E3"/>
    <w:rsid w:val="00412DFA"/>
    <w:rsid w:val="004157F0"/>
    <w:rsid w:val="00424CE9"/>
    <w:rsid w:val="00425ABB"/>
    <w:rsid w:val="00436AA4"/>
    <w:rsid w:val="00443496"/>
    <w:rsid w:val="00447F15"/>
    <w:rsid w:val="00450C6F"/>
    <w:rsid w:val="004577C5"/>
    <w:rsid w:val="00461CBC"/>
    <w:rsid w:val="00462CD8"/>
    <w:rsid w:val="00486E76"/>
    <w:rsid w:val="0049192F"/>
    <w:rsid w:val="004952E6"/>
    <w:rsid w:val="004A1CB1"/>
    <w:rsid w:val="004A2C47"/>
    <w:rsid w:val="004A33F7"/>
    <w:rsid w:val="004B0229"/>
    <w:rsid w:val="004B4527"/>
    <w:rsid w:val="004C0C4E"/>
    <w:rsid w:val="004C1335"/>
    <w:rsid w:val="004D581B"/>
    <w:rsid w:val="004E63C4"/>
    <w:rsid w:val="004F4B6B"/>
    <w:rsid w:val="0050223F"/>
    <w:rsid w:val="0050225F"/>
    <w:rsid w:val="00502C86"/>
    <w:rsid w:val="005116CA"/>
    <w:rsid w:val="00512AC6"/>
    <w:rsid w:val="00515BBF"/>
    <w:rsid w:val="00527052"/>
    <w:rsid w:val="00530A84"/>
    <w:rsid w:val="00532D7F"/>
    <w:rsid w:val="00533E16"/>
    <w:rsid w:val="00554B19"/>
    <w:rsid w:val="00557DB1"/>
    <w:rsid w:val="00557FBB"/>
    <w:rsid w:val="005655F8"/>
    <w:rsid w:val="005729CB"/>
    <w:rsid w:val="005748F4"/>
    <w:rsid w:val="00576CFD"/>
    <w:rsid w:val="00583194"/>
    <w:rsid w:val="00586D3B"/>
    <w:rsid w:val="00590BFB"/>
    <w:rsid w:val="00596503"/>
    <w:rsid w:val="005976E6"/>
    <w:rsid w:val="005B63A1"/>
    <w:rsid w:val="005C0F70"/>
    <w:rsid w:val="005C1F77"/>
    <w:rsid w:val="005C2928"/>
    <w:rsid w:val="005C4747"/>
    <w:rsid w:val="005C502F"/>
    <w:rsid w:val="005E08B1"/>
    <w:rsid w:val="005F2A20"/>
    <w:rsid w:val="005F6DD8"/>
    <w:rsid w:val="00620B13"/>
    <w:rsid w:val="00622A8B"/>
    <w:rsid w:val="00624981"/>
    <w:rsid w:val="00633AF6"/>
    <w:rsid w:val="00640752"/>
    <w:rsid w:val="00655A9B"/>
    <w:rsid w:val="00663F13"/>
    <w:rsid w:val="006670F5"/>
    <w:rsid w:val="00671B1C"/>
    <w:rsid w:val="006741ED"/>
    <w:rsid w:val="006747AD"/>
    <w:rsid w:val="00680539"/>
    <w:rsid w:val="00685ED9"/>
    <w:rsid w:val="00693656"/>
    <w:rsid w:val="006B15ED"/>
    <w:rsid w:val="006B1CFD"/>
    <w:rsid w:val="006B3850"/>
    <w:rsid w:val="006B3E55"/>
    <w:rsid w:val="006B46CE"/>
    <w:rsid w:val="006C0470"/>
    <w:rsid w:val="006C5AEB"/>
    <w:rsid w:val="006D5650"/>
    <w:rsid w:val="006E17A6"/>
    <w:rsid w:val="006E6FE3"/>
    <w:rsid w:val="006F12D8"/>
    <w:rsid w:val="006F7D0B"/>
    <w:rsid w:val="00704C4F"/>
    <w:rsid w:val="00705C99"/>
    <w:rsid w:val="00720C68"/>
    <w:rsid w:val="00723309"/>
    <w:rsid w:val="007252F0"/>
    <w:rsid w:val="00730979"/>
    <w:rsid w:val="00731D54"/>
    <w:rsid w:val="00757241"/>
    <w:rsid w:val="00762873"/>
    <w:rsid w:val="007765AE"/>
    <w:rsid w:val="00780097"/>
    <w:rsid w:val="00784F4F"/>
    <w:rsid w:val="007931EE"/>
    <w:rsid w:val="00796A31"/>
    <w:rsid w:val="007A1F31"/>
    <w:rsid w:val="007A7262"/>
    <w:rsid w:val="007C33E2"/>
    <w:rsid w:val="007C55EA"/>
    <w:rsid w:val="007C5E20"/>
    <w:rsid w:val="007C66D9"/>
    <w:rsid w:val="007C6884"/>
    <w:rsid w:val="007E36EB"/>
    <w:rsid w:val="00802037"/>
    <w:rsid w:val="00813901"/>
    <w:rsid w:val="0081578A"/>
    <w:rsid w:val="00823EA1"/>
    <w:rsid w:val="0083436F"/>
    <w:rsid w:val="0084070D"/>
    <w:rsid w:val="00853589"/>
    <w:rsid w:val="00854094"/>
    <w:rsid w:val="00871F88"/>
    <w:rsid w:val="00877179"/>
    <w:rsid w:val="0088353E"/>
    <w:rsid w:val="008911B7"/>
    <w:rsid w:val="00895E50"/>
    <w:rsid w:val="0089701F"/>
    <w:rsid w:val="008A64DF"/>
    <w:rsid w:val="008B1EE4"/>
    <w:rsid w:val="008C4D5A"/>
    <w:rsid w:val="008D2B3B"/>
    <w:rsid w:val="008F0A4A"/>
    <w:rsid w:val="008F2164"/>
    <w:rsid w:val="00906A4B"/>
    <w:rsid w:val="0091019C"/>
    <w:rsid w:val="009149EA"/>
    <w:rsid w:val="00932CA0"/>
    <w:rsid w:val="00944A9D"/>
    <w:rsid w:val="00946D91"/>
    <w:rsid w:val="00952922"/>
    <w:rsid w:val="0095510A"/>
    <w:rsid w:val="009617EC"/>
    <w:rsid w:val="009661A2"/>
    <w:rsid w:val="00977BCA"/>
    <w:rsid w:val="009937E0"/>
    <w:rsid w:val="009A4994"/>
    <w:rsid w:val="009A521D"/>
    <w:rsid w:val="009B6FDE"/>
    <w:rsid w:val="009C24E9"/>
    <w:rsid w:val="009C6328"/>
    <w:rsid w:val="009C7072"/>
    <w:rsid w:val="009D3DEB"/>
    <w:rsid w:val="009F1818"/>
    <w:rsid w:val="00A046AF"/>
    <w:rsid w:val="00A055DA"/>
    <w:rsid w:val="00A07F77"/>
    <w:rsid w:val="00A12DDB"/>
    <w:rsid w:val="00A14727"/>
    <w:rsid w:val="00A22F03"/>
    <w:rsid w:val="00A23478"/>
    <w:rsid w:val="00A24396"/>
    <w:rsid w:val="00A455E3"/>
    <w:rsid w:val="00A57C45"/>
    <w:rsid w:val="00A83F60"/>
    <w:rsid w:val="00A84190"/>
    <w:rsid w:val="00AD27A5"/>
    <w:rsid w:val="00AE52BF"/>
    <w:rsid w:val="00AF5410"/>
    <w:rsid w:val="00AF671E"/>
    <w:rsid w:val="00AF7D57"/>
    <w:rsid w:val="00B00900"/>
    <w:rsid w:val="00B034C0"/>
    <w:rsid w:val="00B17893"/>
    <w:rsid w:val="00B27691"/>
    <w:rsid w:val="00B27DDB"/>
    <w:rsid w:val="00B60338"/>
    <w:rsid w:val="00B61D95"/>
    <w:rsid w:val="00B83740"/>
    <w:rsid w:val="00B86A76"/>
    <w:rsid w:val="00B95B45"/>
    <w:rsid w:val="00BA33EF"/>
    <w:rsid w:val="00BB3B14"/>
    <w:rsid w:val="00BB406C"/>
    <w:rsid w:val="00BC1F05"/>
    <w:rsid w:val="00BC33FE"/>
    <w:rsid w:val="00BC458C"/>
    <w:rsid w:val="00BC774A"/>
    <w:rsid w:val="00BD3E30"/>
    <w:rsid w:val="00BE247E"/>
    <w:rsid w:val="00BE381D"/>
    <w:rsid w:val="00BE56E4"/>
    <w:rsid w:val="00BE6CE8"/>
    <w:rsid w:val="00BF5E45"/>
    <w:rsid w:val="00C02770"/>
    <w:rsid w:val="00C077C8"/>
    <w:rsid w:val="00C13E69"/>
    <w:rsid w:val="00C23BD4"/>
    <w:rsid w:val="00C302DB"/>
    <w:rsid w:val="00C32455"/>
    <w:rsid w:val="00C329CC"/>
    <w:rsid w:val="00C36BB7"/>
    <w:rsid w:val="00C370D9"/>
    <w:rsid w:val="00C43FDB"/>
    <w:rsid w:val="00C5071C"/>
    <w:rsid w:val="00C527D5"/>
    <w:rsid w:val="00C52C5B"/>
    <w:rsid w:val="00C52D3C"/>
    <w:rsid w:val="00C53958"/>
    <w:rsid w:val="00C56697"/>
    <w:rsid w:val="00C64D0C"/>
    <w:rsid w:val="00C66177"/>
    <w:rsid w:val="00C708C3"/>
    <w:rsid w:val="00C721B2"/>
    <w:rsid w:val="00C80606"/>
    <w:rsid w:val="00C812E2"/>
    <w:rsid w:val="00C95B18"/>
    <w:rsid w:val="00C97E1D"/>
    <w:rsid w:val="00CA0366"/>
    <w:rsid w:val="00CA12CC"/>
    <w:rsid w:val="00CB118C"/>
    <w:rsid w:val="00CB6B59"/>
    <w:rsid w:val="00CC3A3C"/>
    <w:rsid w:val="00CC4B3C"/>
    <w:rsid w:val="00CD27B2"/>
    <w:rsid w:val="00CE2ABE"/>
    <w:rsid w:val="00CF2DAB"/>
    <w:rsid w:val="00CF4F88"/>
    <w:rsid w:val="00D0028B"/>
    <w:rsid w:val="00D07144"/>
    <w:rsid w:val="00D133CC"/>
    <w:rsid w:val="00D16448"/>
    <w:rsid w:val="00D25430"/>
    <w:rsid w:val="00D37070"/>
    <w:rsid w:val="00D401A5"/>
    <w:rsid w:val="00D43234"/>
    <w:rsid w:val="00D549BD"/>
    <w:rsid w:val="00D54C43"/>
    <w:rsid w:val="00D615DC"/>
    <w:rsid w:val="00D64423"/>
    <w:rsid w:val="00D65823"/>
    <w:rsid w:val="00D6715C"/>
    <w:rsid w:val="00D7033E"/>
    <w:rsid w:val="00D81159"/>
    <w:rsid w:val="00DB56F2"/>
    <w:rsid w:val="00DB60E8"/>
    <w:rsid w:val="00DB6477"/>
    <w:rsid w:val="00DD7ACE"/>
    <w:rsid w:val="00DE19F3"/>
    <w:rsid w:val="00DE22C9"/>
    <w:rsid w:val="00DE6C62"/>
    <w:rsid w:val="00DF01C6"/>
    <w:rsid w:val="00DF1ED9"/>
    <w:rsid w:val="00DF2BD0"/>
    <w:rsid w:val="00E05636"/>
    <w:rsid w:val="00E1796D"/>
    <w:rsid w:val="00E2571E"/>
    <w:rsid w:val="00E262E6"/>
    <w:rsid w:val="00E26782"/>
    <w:rsid w:val="00E30CEB"/>
    <w:rsid w:val="00E31EA7"/>
    <w:rsid w:val="00E32021"/>
    <w:rsid w:val="00E3333B"/>
    <w:rsid w:val="00E37C95"/>
    <w:rsid w:val="00E425E7"/>
    <w:rsid w:val="00E456ED"/>
    <w:rsid w:val="00E472C8"/>
    <w:rsid w:val="00E54140"/>
    <w:rsid w:val="00E54A32"/>
    <w:rsid w:val="00E60614"/>
    <w:rsid w:val="00E67609"/>
    <w:rsid w:val="00E7514A"/>
    <w:rsid w:val="00E81C38"/>
    <w:rsid w:val="00E859B5"/>
    <w:rsid w:val="00E91F23"/>
    <w:rsid w:val="00E92E49"/>
    <w:rsid w:val="00E949AE"/>
    <w:rsid w:val="00EA2739"/>
    <w:rsid w:val="00EB2AEA"/>
    <w:rsid w:val="00EB6A33"/>
    <w:rsid w:val="00EC66B6"/>
    <w:rsid w:val="00EF159B"/>
    <w:rsid w:val="00EF1893"/>
    <w:rsid w:val="00EF2EFE"/>
    <w:rsid w:val="00F02227"/>
    <w:rsid w:val="00F047A1"/>
    <w:rsid w:val="00F12AFE"/>
    <w:rsid w:val="00F16523"/>
    <w:rsid w:val="00F16643"/>
    <w:rsid w:val="00F22CCF"/>
    <w:rsid w:val="00F26BB9"/>
    <w:rsid w:val="00F27057"/>
    <w:rsid w:val="00F320D4"/>
    <w:rsid w:val="00F33A9D"/>
    <w:rsid w:val="00F47079"/>
    <w:rsid w:val="00F51569"/>
    <w:rsid w:val="00F535BC"/>
    <w:rsid w:val="00F56AF5"/>
    <w:rsid w:val="00F57072"/>
    <w:rsid w:val="00F64564"/>
    <w:rsid w:val="00F66684"/>
    <w:rsid w:val="00F677C8"/>
    <w:rsid w:val="00F878FE"/>
    <w:rsid w:val="00FD145B"/>
    <w:rsid w:val="00FF0E5D"/>
    <w:rsid w:val="00FF15E6"/>
    <w:rsid w:val="00FF1ECF"/>
    <w:rsid w:val="00FF2BA4"/>
  </w:rsids>
  <m:mathPr>
    <m:mathFont m:val="Cambria Math"/>
    <m:brkBin m:val="before"/>
    <m:brkBinSub m:val="--"/>
    <m:smallFrac m:val="0"/>
    <m:dispDef/>
    <m:lMargin m:val="0"/>
    <m:rMargin m:val="0"/>
    <m:defJc m:val="centerGroup"/>
    <m:wrapIndent m:val="1440"/>
    <m:intLim m:val="subSup"/>
    <m:naryLim m:val="undOvr"/>
  </m:mathPr>
  <w:themeFontLang w:val="en-K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8BC36A"/>
  <w15:chartTrackingRefBased/>
  <w15:docId w15:val="{561CF6F8-8BD9-4689-A150-616F232F3C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K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2AEA"/>
  </w:style>
  <w:style w:type="paragraph" w:styleId="Heading1">
    <w:name w:val="heading 1"/>
    <w:basedOn w:val="Normal"/>
    <w:next w:val="Normal"/>
    <w:link w:val="Heading1Char"/>
    <w:uiPriority w:val="9"/>
    <w:qFormat/>
    <w:rsid w:val="0024176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24176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4176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4176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4176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4176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4176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4176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4176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4176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24176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4176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4176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4176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4176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4176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4176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41768"/>
    <w:rPr>
      <w:rFonts w:eastAsiaTheme="majorEastAsia" w:cstheme="majorBidi"/>
      <w:color w:val="272727" w:themeColor="text1" w:themeTint="D8"/>
    </w:rPr>
  </w:style>
  <w:style w:type="paragraph" w:styleId="Title">
    <w:name w:val="Title"/>
    <w:basedOn w:val="Normal"/>
    <w:next w:val="Normal"/>
    <w:link w:val="TitleChar"/>
    <w:uiPriority w:val="10"/>
    <w:qFormat/>
    <w:rsid w:val="0024176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176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4176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4176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41768"/>
    <w:pPr>
      <w:spacing w:before="160"/>
      <w:jc w:val="center"/>
    </w:pPr>
    <w:rPr>
      <w:i/>
      <w:iCs/>
      <w:color w:val="404040" w:themeColor="text1" w:themeTint="BF"/>
    </w:rPr>
  </w:style>
  <w:style w:type="character" w:customStyle="1" w:styleId="QuoteChar">
    <w:name w:val="Quote Char"/>
    <w:basedOn w:val="DefaultParagraphFont"/>
    <w:link w:val="Quote"/>
    <w:uiPriority w:val="29"/>
    <w:rsid w:val="00241768"/>
    <w:rPr>
      <w:i/>
      <w:iCs/>
      <w:color w:val="404040" w:themeColor="text1" w:themeTint="BF"/>
    </w:rPr>
  </w:style>
  <w:style w:type="paragraph" w:styleId="ListParagraph">
    <w:name w:val="List Paragraph"/>
    <w:basedOn w:val="Normal"/>
    <w:uiPriority w:val="34"/>
    <w:qFormat/>
    <w:rsid w:val="00241768"/>
    <w:pPr>
      <w:ind w:left="720"/>
      <w:contextualSpacing/>
    </w:pPr>
  </w:style>
  <w:style w:type="character" w:styleId="IntenseEmphasis">
    <w:name w:val="Intense Emphasis"/>
    <w:basedOn w:val="DefaultParagraphFont"/>
    <w:uiPriority w:val="21"/>
    <w:qFormat/>
    <w:rsid w:val="00241768"/>
    <w:rPr>
      <w:i/>
      <w:iCs/>
      <w:color w:val="0F4761" w:themeColor="accent1" w:themeShade="BF"/>
    </w:rPr>
  </w:style>
  <w:style w:type="paragraph" w:styleId="IntenseQuote">
    <w:name w:val="Intense Quote"/>
    <w:basedOn w:val="Normal"/>
    <w:next w:val="Normal"/>
    <w:link w:val="IntenseQuoteChar"/>
    <w:uiPriority w:val="30"/>
    <w:qFormat/>
    <w:rsid w:val="0024176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41768"/>
    <w:rPr>
      <w:i/>
      <w:iCs/>
      <w:color w:val="0F4761" w:themeColor="accent1" w:themeShade="BF"/>
    </w:rPr>
  </w:style>
  <w:style w:type="character" w:styleId="IntenseReference">
    <w:name w:val="Intense Reference"/>
    <w:basedOn w:val="DefaultParagraphFont"/>
    <w:uiPriority w:val="32"/>
    <w:qFormat/>
    <w:rsid w:val="00241768"/>
    <w:rPr>
      <w:b/>
      <w:bCs/>
      <w:smallCaps/>
      <w:color w:val="0F4761" w:themeColor="accent1" w:themeShade="BF"/>
      <w:spacing w:val="5"/>
    </w:rPr>
  </w:style>
  <w:style w:type="paragraph" w:styleId="Header">
    <w:name w:val="header"/>
    <w:basedOn w:val="Normal"/>
    <w:link w:val="HeaderChar"/>
    <w:uiPriority w:val="99"/>
    <w:unhideWhenUsed/>
    <w:rsid w:val="00704C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704C4F"/>
  </w:style>
  <w:style w:type="paragraph" w:styleId="Footer">
    <w:name w:val="footer"/>
    <w:basedOn w:val="Normal"/>
    <w:link w:val="FooterChar"/>
    <w:uiPriority w:val="99"/>
    <w:unhideWhenUsed/>
    <w:rsid w:val="00704C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704C4F"/>
  </w:style>
  <w:style w:type="character" w:styleId="Hyperlink">
    <w:name w:val="Hyperlink"/>
    <w:basedOn w:val="DefaultParagraphFont"/>
    <w:uiPriority w:val="99"/>
    <w:unhideWhenUsed/>
    <w:rsid w:val="00436AA4"/>
    <w:rPr>
      <w:color w:val="467886" w:themeColor="hyperlink"/>
      <w:u w:val="single"/>
    </w:rPr>
  </w:style>
  <w:style w:type="character" w:styleId="UnresolvedMention">
    <w:name w:val="Unresolved Mention"/>
    <w:basedOn w:val="DefaultParagraphFont"/>
    <w:uiPriority w:val="99"/>
    <w:semiHidden/>
    <w:unhideWhenUsed/>
    <w:rsid w:val="00436AA4"/>
    <w:rPr>
      <w:color w:val="605E5C"/>
      <w:shd w:val="clear" w:color="auto" w:fill="E1DFDD"/>
    </w:rPr>
  </w:style>
  <w:style w:type="paragraph" w:styleId="NoSpacing">
    <w:name w:val="No Spacing"/>
    <w:uiPriority w:val="1"/>
    <w:qFormat/>
    <w:rsid w:val="00A14727"/>
    <w:pPr>
      <w:spacing w:after="0" w:line="240" w:lineRule="auto"/>
    </w:pPr>
  </w:style>
  <w:style w:type="character" w:styleId="FollowedHyperlink">
    <w:name w:val="FollowedHyperlink"/>
    <w:basedOn w:val="DefaultParagraphFont"/>
    <w:uiPriority w:val="99"/>
    <w:semiHidden/>
    <w:unhideWhenUsed/>
    <w:rsid w:val="00486E76"/>
    <w:rPr>
      <w:color w:val="96607D" w:themeColor="followedHyperlink"/>
      <w:u w:val="single"/>
    </w:rPr>
  </w:style>
  <w:style w:type="table" w:styleId="GridTable4">
    <w:name w:val="Grid Table 4"/>
    <w:basedOn w:val="TableNormal"/>
    <w:uiPriority w:val="49"/>
    <w:rsid w:val="00C527D5"/>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ibliography">
    <w:name w:val="Bibliography"/>
    <w:basedOn w:val="Normal"/>
    <w:next w:val="Normal"/>
    <w:uiPriority w:val="37"/>
    <w:unhideWhenUsed/>
    <w:rsid w:val="002333D2"/>
  </w:style>
  <w:style w:type="paragraph" w:styleId="TOCHeading">
    <w:name w:val="TOC Heading"/>
    <w:basedOn w:val="Heading1"/>
    <w:next w:val="Normal"/>
    <w:uiPriority w:val="39"/>
    <w:unhideWhenUsed/>
    <w:qFormat/>
    <w:rsid w:val="009C24E9"/>
    <w:pPr>
      <w:spacing w:before="240" w:after="0" w:line="259" w:lineRule="auto"/>
      <w:outlineLvl w:val="9"/>
    </w:pPr>
    <w:rPr>
      <w:kern w:val="0"/>
      <w:sz w:val="32"/>
      <w:szCs w:val="32"/>
      <w:lang w:val="en-US"/>
      <w14:ligatures w14:val="none"/>
    </w:rPr>
  </w:style>
  <w:style w:type="paragraph" w:styleId="TOC3">
    <w:name w:val="toc 3"/>
    <w:basedOn w:val="Normal"/>
    <w:next w:val="Normal"/>
    <w:autoRedefine/>
    <w:uiPriority w:val="39"/>
    <w:unhideWhenUsed/>
    <w:rsid w:val="009C24E9"/>
    <w:pPr>
      <w:spacing w:after="100"/>
      <w:ind w:left="480"/>
    </w:pPr>
  </w:style>
  <w:style w:type="paragraph" w:styleId="TOC1">
    <w:name w:val="toc 1"/>
    <w:basedOn w:val="Normal"/>
    <w:next w:val="Normal"/>
    <w:autoRedefine/>
    <w:uiPriority w:val="39"/>
    <w:unhideWhenUsed/>
    <w:rsid w:val="009C24E9"/>
    <w:pPr>
      <w:spacing w:after="100"/>
    </w:pPr>
  </w:style>
  <w:style w:type="paragraph" w:styleId="TOC2">
    <w:name w:val="toc 2"/>
    <w:basedOn w:val="Normal"/>
    <w:next w:val="Normal"/>
    <w:autoRedefine/>
    <w:uiPriority w:val="39"/>
    <w:unhideWhenUsed/>
    <w:rsid w:val="009C24E9"/>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41285">
      <w:bodyDiv w:val="1"/>
      <w:marLeft w:val="0"/>
      <w:marRight w:val="0"/>
      <w:marTop w:val="0"/>
      <w:marBottom w:val="0"/>
      <w:divBdr>
        <w:top w:val="none" w:sz="0" w:space="0" w:color="auto"/>
        <w:left w:val="none" w:sz="0" w:space="0" w:color="auto"/>
        <w:bottom w:val="none" w:sz="0" w:space="0" w:color="auto"/>
        <w:right w:val="none" w:sz="0" w:space="0" w:color="auto"/>
      </w:divBdr>
    </w:div>
    <w:div w:id="30427599">
      <w:bodyDiv w:val="1"/>
      <w:marLeft w:val="0"/>
      <w:marRight w:val="0"/>
      <w:marTop w:val="0"/>
      <w:marBottom w:val="0"/>
      <w:divBdr>
        <w:top w:val="none" w:sz="0" w:space="0" w:color="auto"/>
        <w:left w:val="none" w:sz="0" w:space="0" w:color="auto"/>
        <w:bottom w:val="none" w:sz="0" w:space="0" w:color="auto"/>
        <w:right w:val="none" w:sz="0" w:space="0" w:color="auto"/>
      </w:divBdr>
    </w:div>
    <w:div w:id="43867543">
      <w:bodyDiv w:val="1"/>
      <w:marLeft w:val="0"/>
      <w:marRight w:val="0"/>
      <w:marTop w:val="0"/>
      <w:marBottom w:val="0"/>
      <w:divBdr>
        <w:top w:val="none" w:sz="0" w:space="0" w:color="auto"/>
        <w:left w:val="none" w:sz="0" w:space="0" w:color="auto"/>
        <w:bottom w:val="none" w:sz="0" w:space="0" w:color="auto"/>
        <w:right w:val="none" w:sz="0" w:space="0" w:color="auto"/>
      </w:divBdr>
    </w:div>
    <w:div w:id="56519135">
      <w:bodyDiv w:val="1"/>
      <w:marLeft w:val="0"/>
      <w:marRight w:val="0"/>
      <w:marTop w:val="0"/>
      <w:marBottom w:val="0"/>
      <w:divBdr>
        <w:top w:val="none" w:sz="0" w:space="0" w:color="auto"/>
        <w:left w:val="none" w:sz="0" w:space="0" w:color="auto"/>
        <w:bottom w:val="none" w:sz="0" w:space="0" w:color="auto"/>
        <w:right w:val="none" w:sz="0" w:space="0" w:color="auto"/>
      </w:divBdr>
    </w:div>
    <w:div w:id="83231916">
      <w:bodyDiv w:val="1"/>
      <w:marLeft w:val="0"/>
      <w:marRight w:val="0"/>
      <w:marTop w:val="0"/>
      <w:marBottom w:val="0"/>
      <w:divBdr>
        <w:top w:val="none" w:sz="0" w:space="0" w:color="auto"/>
        <w:left w:val="none" w:sz="0" w:space="0" w:color="auto"/>
        <w:bottom w:val="none" w:sz="0" w:space="0" w:color="auto"/>
        <w:right w:val="none" w:sz="0" w:space="0" w:color="auto"/>
      </w:divBdr>
    </w:div>
    <w:div w:id="93718545">
      <w:bodyDiv w:val="1"/>
      <w:marLeft w:val="0"/>
      <w:marRight w:val="0"/>
      <w:marTop w:val="0"/>
      <w:marBottom w:val="0"/>
      <w:divBdr>
        <w:top w:val="none" w:sz="0" w:space="0" w:color="auto"/>
        <w:left w:val="none" w:sz="0" w:space="0" w:color="auto"/>
        <w:bottom w:val="none" w:sz="0" w:space="0" w:color="auto"/>
        <w:right w:val="none" w:sz="0" w:space="0" w:color="auto"/>
      </w:divBdr>
    </w:div>
    <w:div w:id="133836030">
      <w:bodyDiv w:val="1"/>
      <w:marLeft w:val="0"/>
      <w:marRight w:val="0"/>
      <w:marTop w:val="0"/>
      <w:marBottom w:val="0"/>
      <w:divBdr>
        <w:top w:val="none" w:sz="0" w:space="0" w:color="auto"/>
        <w:left w:val="none" w:sz="0" w:space="0" w:color="auto"/>
        <w:bottom w:val="none" w:sz="0" w:space="0" w:color="auto"/>
        <w:right w:val="none" w:sz="0" w:space="0" w:color="auto"/>
      </w:divBdr>
    </w:div>
    <w:div w:id="159740274">
      <w:bodyDiv w:val="1"/>
      <w:marLeft w:val="0"/>
      <w:marRight w:val="0"/>
      <w:marTop w:val="0"/>
      <w:marBottom w:val="0"/>
      <w:divBdr>
        <w:top w:val="none" w:sz="0" w:space="0" w:color="auto"/>
        <w:left w:val="none" w:sz="0" w:space="0" w:color="auto"/>
        <w:bottom w:val="none" w:sz="0" w:space="0" w:color="auto"/>
        <w:right w:val="none" w:sz="0" w:space="0" w:color="auto"/>
      </w:divBdr>
    </w:div>
    <w:div w:id="192379923">
      <w:bodyDiv w:val="1"/>
      <w:marLeft w:val="0"/>
      <w:marRight w:val="0"/>
      <w:marTop w:val="0"/>
      <w:marBottom w:val="0"/>
      <w:divBdr>
        <w:top w:val="none" w:sz="0" w:space="0" w:color="auto"/>
        <w:left w:val="none" w:sz="0" w:space="0" w:color="auto"/>
        <w:bottom w:val="none" w:sz="0" w:space="0" w:color="auto"/>
        <w:right w:val="none" w:sz="0" w:space="0" w:color="auto"/>
      </w:divBdr>
    </w:div>
    <w:div w:id="199632426">
      <w:bodyDiv w:val="1"/>
      <w:marLeft w:val="0"/>
      <w:marRight w:val="0"/>
      <w:marTop w:val="0"/>
      <w:marBottom w:val="0"/>
      <w:divBdr>
        <w:top w:val="none" w:sz="0" w:space="0" w:color="auto"/>
        <w:left w:val="none" w:sz="0" w:space="0" w:color="auto"/>
        <w:bottom w:val="none" w:sz="0" w:space="0" w:color="auto"/>
        <w:right w:val="none" w:sz="0" w:space="0" w:color="auto"/>
      </w:divBdr>
    </w:div>
    <w:div w:id="296568254">
      <w:bodyDiv w:val="1"/>
      <w:marLeft w:val="0"/>
      <w:marRight w:val="0"/>
      <w:marTop w:val="0"/>
      <w:marBottom w:val="0"/>
      <w:divBdr>
        <w:top w:val="none" w:sz="0" w:space="0" w:color="auto"/>
        <w:left w:val="none" w:sz="0" w:space="0" w:color="auto"/>
        <w:bottom w:val="none" w:sz="0" w:space="0" w:color="auto"/>
        <w:right w:val="none" w:sz="0" w:space="0" w:color="auto"/>
      </w:divBdr>
    </w:div>
    <w:div w:id="315841520">
      <w:bodyDiv w:val="1"/>
      <w:marLeft w:val="0"/>
      <w:marRight w:val="0"/>
      <w:marTop w:val="0"/>
      <w:marBottom w:val="0"/>
      <w:divBdr>
        <w:top w:val="none" w:sz="0" w:space="0" w:color="auto"/>
        <w:left w:val="none" w:sz="0" w:space="0" w:color="auto"/>
        <w:bottom w:val="none" w:sz="0" w:space="0" w:color="auto"/>
        <w:right w:val="none" w:sz="0" w:space="0" w:color="auto"/>
      </w:divBdr>
    </w:div>
    <w:div w:id="414128966">
      <w:bodyDiv w:val="1"/>
      <w:marLeft w:val="0"/>
      <w:marRight w:val="0"/>
      <w:marTop w:val="0"/>
      <w:marBottom w:val="0"/>
      <w:divBdr>
        <w:top w:val="none" w:sz="0" w:space="0" w:color="auto"/>
        <w:left w:val="none" w:sz="0" w:space="0" w:color="auto"/>
        <w:bottom w:val="none" w:sz="0" w:space="0" w:color="auto"/>
        <w:right w:val="none" w:sz="0" w:space="0" w:color="auto"/>
      </w:divBdr>
    </w:div>
    <w:div w:id="465314547">
      <w:bodyDiv w:val="1"/>
      <w:marLeft w:val="0"/>
      <w:marRight w:val="0"/>
      <w:marTop w:val="0"/>
      <w:marBottom w:val="0"/>
      <w:divBdr>
        <w:top w:val="none" w:sz="0" w:space="0" w:color="auto"/>
        <w:left w:val="none" w:sz="0" w:space="0" w:color="auto"/>
        <w:bottom w:val="none" w:sz="0" w:space="0" w:color="auto"/>
        <w:right w:val="none" w:sz="0" w:space="0" w:color="auto"/>
      </w:divBdr>
    </w:div>
    <w:div w:id="573048624">
      <w:bodyDiv w:val="1"/>
      <w:marLeft w:val="0"/>
      <w:marRight w:val="0"/>
      <w:marTop w:val="0"/>
      <w:marBottom w:val="0"/>
      <w:divBdr>
        <w:top w:val="none" w:sz="0" w:space="0" w:color="auto"/>
        <w:left w:val="none" w:sz="0" w:space="0" w:color="auto"/>
        <w:bottom w:val="none" w:sz="0" w:space="0" w:color="auto"/>
        <w:right w:val="none" w:sz="0" w:space="0" w:color="auto"/>
      </w:divBdr>
    </w:div>
    <w:div w:id="580874275">
      <w:bodyDiv w:val="1"/>
      <w:marLeft w:val="0"/>
      <w:marRight w:val="0"/>
      <w:marTop w:val="0"/>
      <w:marBottom w:val="0"/>
      <w:divBdr>
        <w:top w:val="none" w:sz="0" w:space="0" w:color="auto"/>
        <w:left w:val="none" w:sz="0" w:space="0" w:color="auto"/>
        <w:bottom w:val="none" w:sz="0" w:space="0" w:color="auto"/>
        <w:right w:val="none" w:sz="0" w:space="0" w:color="auto"/>
      </w:divBdr>
    </w:div>
    <w:div w:id="608204393">
      <w:bodyDiv w:val="1"/>
      <w:marLeft w:val="0"/>
      <w:marRight w:val="0"/>
      <w:marTop w:val="0"/>
      <w:marBottom w:val="0"/>
      <w:divBdr>
        <w:top w:val="none" w:sz="0" w:space="0" w:color="auto"/>
        <w:left w:val="none" w:sz="0" w:space="0" w:color="auto"/>
        <w:bottom w:val="none" w:sz="0" w:space="0" w:color="auto"/>
        <w:right w:val="none" w:sz="0" w:space="0" w:color="auto"/>
      </w:divBdr>
    </w:div>
    <w:div w:id="609355109">
      <w:bodyDiv w:val="1"/>
      <w:marLeft w:val="0"/>
      <w:marRight w:val="0"/>
      <w:marTop w:val="0"/>
      <w:marBottom w:val="0"/>
      <w:divBdr>
        <w:top w:val="none" w:sz="0" w:space="0" w:color="auto"/>
        <w:left w:val="none" w:sz="0" w:space="0" w:color="auto"/>
        <w:bottom w:val="none" w:sz="0" w:space="0" w:color="auto"/>
        <w:right w:val="none" w:sz="0" w:space="0" w:color="auto"/>
      </w:divBdr>
    </w:div>
    <w:div w:id="626401418">
      <w:bodyDiv w:val="1"/>
      <w:marLeft w:val="0"/>
      <w:marRight w:val="0"/>
      <w:marTop w:val="0"/>
      <w:marBottom w:val="0"/>
      <w:divBdr>
        <w:top w:val="none" w:sz="0" w:space="0" w:color="auto"/>
        <w:left w:val="none" w:sz="0" w:space="0" w:color="auto"/>
        <w:bottom w:val="none" w:sz="0" w:space="0" w:color="auto"/>
        <w:right w:val="none" w:sz="0" w:space="0" w:color="auto"/>
      </w:divBdr>
    </w:div>
    <w:div w:id="630749512">
      <w:bodyDiv w:val="1"/>
      <w:marLeft w:val="0"/>
      <w:marRight w:val="0"/>
      <w:marTop w:val="0"/>
      <w:marBottom w:val="0"/>
      <w:divBdr>
        <w:top w:val="none" w:sz="0" w:space="0" w:color="auto"/>
        <w:left w:val="none" w:sz="0" w:space="0" w:color="auto"/>
        <w:bottom w:val="none" w:sz="0" w:space="0" w:color="auto"/>
        <w:right w:val="none" w:sz="0" w:space="0" w:color="auto"/>
      </w:divBdr>
    </w:div>
    <w:div w:id="632251538">
      <w:bodyDiv w:val="1"/>
      <w:marLeft w:val="0"/>
      <w:marRight w:val="0"/>
      <w:marTop w:val="0"/>
      <w:marBottom w:val="0"/>
      <w:divBdr>
        <w:top w:val="none" w:sz="0" w:space="0" w:color="auto"/>
        <w:left w:val="none" w:sz="0" w:space="0" w:color="auto"/>
        <w:bottom w:val="none" w:sz="0" w:space="0" w:color="auto"/>
        <w:right w:val="none" w:sz="0" w:space="0" w:color="auto"/>
      </w:divBdr>
    </w:div>
    <w:div w:id="644093124">
      <w:bodyDiv w:val="1"/>
      <w:marLeft w:val="0"/>
      <w:marRight w:val="0"/>
      <w:marTop w:val="0"/>
      <w:marBottom w:val="0"/>
      <w:divBdr>
        <w:top w:val="none" w:sz="0" w:space="0" w:color="auto"/>
        <w:left w:val="none" w:sz="0" w:space="0" w:color="auto"/>
        <w:bottom w:val="none" w:sz="0" w:space="0" w:color="auto"/>
        <w:right w:val="none" w:sz="0" w:space="0" w:color="auto"/>
      </w:divBdr>
    </w:div>
    <w:div w:id="658384796">
      <w:bodyDiv w:val="1"/>
      <w:marLeft w:val="0"/>
      <w:marRight w:val="0"/>
      <w:marTop w:val="0"/>
      <w:marBottom w:val="0"/>
      <w:divBdr>
        <w:top w:val="none" w:sz="0" w:space="0" w:color="auto"/>
        <w:left w:val="none" w:sz="0" w:space="0" w:color="auto"/>
        <w:bottom w:val="none" w:sz="0" w:space="0" w:color="auto"/>
        <w:right w:val="none" w:sz="0" w:space="0" w:color="auto"/>
      </w:divBdr>
    </w:div>
    <w:div w:id="682898139">
      <w:bodyDiv w:val="1"/>
      <w:marLeft w:val="0"/>
      <w:marRight w:val="0"/>
      <w:marTop w:val="0"/>
      <w:marBottom w:val="0"/>
      <w:divBdr>
        <w:top w:val="none" w:sz="0" w:space="0" w:color="auto"/>
        <w:left w:val="none" w:sz="0" w:space="0" w:color="auto"/>
        <w:bottom w:val="none" w:sz="0" w:space="0" w:color="auto"/>
        <w:right w:val="none" w:sz="0" w:space="0" w:color="auto"/>
      </w:divBdr>
    </w:div>
    <w:div w:id="732461163">
      <w:bodyDiv w:val="1"/>
      <w:marLeft w:val="0"/>
      <w:marRight w:val="0"/>
      <w:marTop w:val="0"/>
      <w:marBottom w:val="0"/>
      <w:divBdr>
        <w:top w:val="none" w:sz="0" w:space="0" w:color="auto"/>
        <w:left w:val="none" w:sz="0" w:space="0" w:color="auto"/>
        <w:bottom w:val="none" w:sz="0" w:space="0" w:color="auto"/>
        <w:right w:val="none" w:sz="0" w:space="0" w:color="auto"/>
      </w:divBdr>
    </w:div>
    <w:div w:id="763721083">
      <w:bodyDiv w:val="1"/>
      <w:marLeft w:val="0"/>
      <w:marRight w:val="0"/>
      <w:marTop w:val="0"/>
      <w:marBottom w:val="0"/>
      <w:divBdr>
        <w:top w:val="none" w:sz="0" w:space="0" w:color="auto"/>
        <w:left w:val="none" w:sz="0" w:space="0" w:color="auto"/>
        <w:bottom w:val="none" w:sz="0" w:space="0" w:color="auto"/>
        <w:right w:val="none" w:sz="0" w:space="0" w:color="auto"/>
      </w:divBdr>
    </w:div>
    <w:div w:id="777603013">
      <w:bodyDiv w:val="1"/>
      <w:marLeft w:val="0"/>
      <w:marRight w:val="0"/>
      <w:marTop w:val="0"/>
      <w:marBottom w:val="0"/>
      <w:divBdr>
        <w:top w:val="none" w:sz="0" w:space="0" w:color="auto"/>
        <w:left w:val="none" w:sz="0" w:space="0" w:color="auto"/>
        <w:bottom w:val="none" w:sz="0" w:space="0" w:color="auto"/>
        <w:right w:val="none" w:sz="0" w:space="0" w:color="auto"/>
      </w:divBdr>
    </w:div>
    <w:div w:id="780105250">
      <w:bodyDiv w:val="1"/>
      <w:marLeft w:val="0"/>
      <w:marRight w:val="0"/>
      <w:marTop w:val="0"/>
      <w:marBottom w:val="0"/>
      <w:divBdr>
        <w:top w:val="none" w:sz="0" w:space="0" w:color="auto"/>
        <w:left w:val="none" w:sz="0" w:space="0" w:color="auto"/>
        <w:bottom w:val="none" w:sz="0" w:space="0" w:color="auto"/>
        <w:right w:val="none" w:sz="0" w:space="0" w:color="auto"/>
      </w:divBdr>
    </w:div>
    <w:div w:id="789587094">
      <w:bodyDiv w:val="1"/>
      <w:marLeft w:val="0"/>
      <w:marRight w:val="0"/>
      <w:marTop w:val="0"/>
      <w:marBottom w:val="0"/>
      <w:divBdr>
        <w:top w:val="none" w:sz="0" w:space="0" w:color="auto"/>
        <w:left w:val="none" w:sz="0" w:space="0" w:color="auto"/>
        <w:bottom w:val="none" w:sz="0" w:space="0" w:color="auto"/>
        <w:right w:val="none" w:sz="0" w:space="0" w:color="auto"/>
      </w:divBdr>
    </w:div>
    <w:div w:id="802388730">
      <w:bodyDiv w:val="1"/>
      <w:marLeft w:val="0"/>
      <w:marRight w:val="0"/>
      <w:marTop w:val="0"/>
      <w:marBottom w:val="0"/>
      <w:divBdr>
        <w:top w:val="none" w:sz="0" w:space="0" w:color="auto"/>
        <w:left w:val="none" w:sz="0" w:space="0" w:color="auto"/>
        <w:bottom w:val="none" w:sz="0" w:space="0" w:color="auto"/>
        <w:right w:val="none" w:sz="0" w:space="0" w:color="auto"/>
      </w:divBdr>
    </w:div>
    <w:div w:id="808209051">
      <w:bodyDiv w:val="1"/>
      <w:marLeft w:val="0"/>
      <w:marRight w:val="0"/>
      <w:marTop w:val="0"/>
      <w:marBottom w:val="0"/>
      <w:divBdr>
        <w:top w:val="none" w:sz="0" w:space="0" w:color="auto"/>
        <w:left w:val="none" w:sz="0" w:space="0" w:color="auto"/>
        <w:bottom w:val="none" w:sz="0" w:space="0" w:color="auto"/>
        <w:right w:val="none" w:sz="0" w:space="0" w:color="auto"/>
      </w:divBdr>
    </w:div>
    <w:div w:id="816453960">
      <w:bodyDiv w:val="1"/>
      <w:marLeft w:val="0"/>
      <w:marRight w:val="0"/>
      <w:marTop w:val="0"/>
      <w:marBottom w:val="0"/>
      <w:divBdr>
        <w:top w:val="none" w:sz="0" w:space="0" w:color="auto"/>
        <w:left w:val="none" w:sz="0" w:space="0" w:color="auto"/>
        <w:bottom w:val="none" w:sz="0" w:space="0" w:color="auto"/>
        <w:right w:val="none" w:sz="0" w:space="0" w:color="auto"/>
      </w:divBdr>
    </w:div>
    <w:div w:id="816920978">
      <w:bodyDiv w:val="1"/>
      <w:marLeft w:val="0"/>
      <w:marRight w:val="0"/>
      <w:marTop w:val="0"/>
      <w:marBottom w:val="0"/>
      <w:divBdr>
        <w:top w:val="none" w:sz="0" w:space="0" w:color="auto"/>
        <w:left w:val="none" w:sz="0" w:space="0" w:color="auto"/>
        <w:bottom w:val="none" w:sz="0" w:space="0" w:color="auto"/>
        <w:right w:val="none" w:sz="0" w:space="0" w:color="auto"/>
      </w:divBdr>
    </w:div>
    <w:div w:id="826945301">
      <w:bodyDiv w:val="1"/>
      <w:marLeft w:val="0"/>
      <w:marRight w:val="0"/>
      <w:marTop w:val="0"/>
      <w:marBottom w:val="0"/>
      <w:divBdr>
        <w:top w:val="none" w:sz="0" w:space="0" w:color="auto"/>
        <w:left w:val="none" w:sz="0" w:space="0" w:color="auto"/>
        <w:bottom w:val="none" w:sz="0" w:space="0" w:color="auto"/>
        <w:right w:val="none" w:sz="0" w:space="0" w:color="auto"/>
      </w:divBdr>
    </w:div>
    <w:div w:id="865603015">
      <w:bodyDiv w:val="1"/>
      <w:marLeft w:val="0"/>
      <w:marRight w:val="0"/>
      <w:marTop w:val="0"/>
      <w:marBottom w:val="0"/>
      <w:divBdr>
        <w:top w:val="none" w:sz="0" w:space="0" w:color="auto"/>
        <w:left w:val="none" w:sz="0" w:space="0" w:color="auto"/>
        <w:bottom w:val="none" w:sz="0" w:space="0" w:color="auto"/>
        <w:right w:val="none" w:sz="0" w:space="0" w:color="auto"/>
      </w:divBdr>
    </w:div>
    <w:div w:id="888153721">
      <w:bodyDiv w:val="1"/>
      <w:marLeft w:val="0"/>
      <w:marRight w:val="0"/>
      <w:marTop w:val="0"/>
      <w:marBottom w:val="0"/>
      <w:divBdr>
        <w:top w:val="none" w:sz="0" w:space="0" w:color="auto"/>
        <w:left w:val="none" w:sz="0" w:space="0" w:color="auto"/>
        <w:bottom w:val="none" w:sz="0" w:space="0" w:color="auto"/>
        <w:right w:val="none" w:sz="0" w:space="0" w:color="auto"/>
      </w:divBdr>
    </w:div>
    <w:div w:id="890766551">
      <w:bodyDiv w:val="1"/>
      <w:marLeft w:val="0"/>
      <w:marRight w:val="0"/>
      <w:marTop w:val="0"/>
      <w:marBottom w:val="0"/>
      <w:divBdr>
        <w:top w:val="none" w:sz="0" w:space="0" w:color="auto"/>
        <w:left w:val="none" w:sz="0" w:space="0" w:color="auto"/>
        <w:bottom w:val="none" w:sz="0" w:space="0" w:color="auto"/>
        <w:right w:val="none" w:sz="0" w:space="0" w:color="auto"/>
      </w:divBdr>
    </w:div>
    <w:div w:id="915357218">
      <w:bodyDiv w:val="1"/>
      <w:marLeft w:val="0"/>
      <w:marRight w:val="0"/>
      <w:marTop w:val="0"/>
      <w:marBottom w:val="0"/>
      <w:divBdr>
        <w:top w:val="none" w:sz="0" w:space="0" w:color="auto"/>
        <w:left w:val="none" w:sz="0" w:space="0" w:color="auto"/>
        <w:bottom w:val="none" w:sz="0" w:space="0" w:color="auto"/>
        <w:right w:val="none" w:sz="0" w:space="0" w:color="auto"/>
      </w:divBdr>
    </w:div>
    <w:div w:id="916015449">
      <w:bodyDiv w:val="1"/>
      <w:marLeft w:val="0"/>
      <w:marRight w:val="0"/>
      <w:marTop w:val="0"/>
      <w:marBottom w:val="0"/>
      <w:divBdr>
        <w:top w:val="none" w:sz="0" w:space="0" w:color="auto"/>
        <w:left w:val="none" w:sz="0" w:space="0" w:color="auto"/>
        <w:bottom w:val="none" w:sz="0" w:space="0" w:color="auto"/>
        <w:right w:val="none" w:sz="0" w:space="0" w:color="auto"/>
      </w:divBdr>
    </w:div>
    <w:div w:id="948590441">
      <w:bodyDiv w:val="1"/>
      <w:marLeft w:val="0"/>
      <w:marRight w:val="0"/>
      <w:marTop w:val="0"/>
      <w:marBottom w:val="0"/>
      <w:divBdr>
        <w:top w:val="none" w:sz="0" w:space="0" w:color="auto"/>
        <w:left w:val="none" w:sz="0" w:space="0" w:color="auto"/>
        <w:bottom w:val="none" w:sz="0" w:space="0" w:color="auto"/>
        <w:right w:val="none" w:sz="0" w:space="0" w:color="auto"/>
      </w:divBdr>
    </w:div>
    <w:div w:id="1034960077">
      <w:bodyDiv w:val="1"/>
      <w:marLeft w:val="0"/>
      <w:marRight w:val="0"/>
      <w:marTop w:val="0"/>
      <w:marBottom w:val="0"/>
      <w:divBdr>
        <w:top w:val="none" w:sz="0" w:space="0" w:color="auto"/>
        <w:left w:val="none" w:sz="0" w:space="0" w:color="auto"/>
        <w:bottom w:val="none" w:sz="0" w:space="0" w:color="auto"/>
        <w:right w:val="none" w:sz="0" w:space="0" w:color="auto"/>
      </w:divBdr>
    </w:div>
    <w:div w:id="1039546136">
      <w:bodyDiv w:val="1"/>
      <w:marLeft w:val="0"/>
      <w:marRight w:val="0"/>
      <w:marTop w:val="0"/>
      <w:marBottom w:val="0"/>
      <w:divBdr>
        <w:top w:val="none" w:sz="0" w:space="0" w:color="auto"/>
        <w:left w:val="none" w:sz="0" w:space="0" w:color="auto"/>
        <w:bottom w:val="none" w:sz="0" w:space="0" w:color="auto"/>
        <w:right w:val="none" w:sz="0" w:space="0" w:color="auto"/>
      </w:divBdr>
    </w:div>
    <w:div w:id="1075737651">
      <w:bodyDiv w:val="1"/>
      <w:marLeft w:val="0"/>
      <w:marRight w:val="0"/>
      <w:marTop w:val="0"/>
      <w:marBottom w:val="0"/>
      <w:divBdr>
        <w:top w:val="none" w:sz="0" w:space="0" w:color="auto"/>
        <w:left w:val="none" w:sz="0" w:space="0" w:color="auto"/>
        <w:bottom w:val="none" w:sz="0" w:space="0" w:color="auto"/>
        <w:right w:val="none" w:sz="0" w:space="0" w:color="auto"/>
      </w:divBdr>
    </w:div>
    <w:div w:id="1101871535">
      <w:bodyDiv w:val="1"/>
      <w:marLeft w:val="0"/>
      <w:marRight w:val="0"/>
      <w:marTop w:val="0"/>
      <w:marBottom w:val="0"/>
      <w:divBdr>
        <w:top w:val="none" w:sz="0" w:space="0" w:color="auto"/>
        <w:left w:val="none" w:sz="0" w:space="0" w:color="auto"/>
        <w:bottom w:val="none" w:sz="0" w:space="0" w:color="auto"/>
        <w:right w:val="none" w:sz="0" w:space="0" w:color="auto"/>
      </w:divBdr>
    </w:div>
    <w:div w:id="1113133305">
      <w:bodyDiv w:val="1"/>
      <w:marLeft w:val="0"/>
      <w:marRight w:val="0"/>
      <w:marTop w:val="0"/>
      <w:marBottom w:val="0"/>
      <w:divBdr>
        <w:top w:val="none" w:sz="0" w:space="0" w:color="auto"/>
        <w:left w:val="none" w:sz="0" w:space="0" w:color="auto"/>
        <w:bottom w:val="none" w:sz="0" w:space="0" w:color="auto"/>
        <w:right w:val="none" w:sz="0" w:space="0" w:color="auto"/>
      </w:divBdr>
    </w:div>
    <w:div w:id="1137146615">
      <w:bodyDiv w:val="1"/>
      <w:marLeft w:val="0"/>
      <w:marRight w:val="0"/>
      <w:marTop w:val="0"/>
      <w:marBottom w:val="0"/>
      <w:divBdr>
        <w:top w:val="none" w:sz="0" w:space="0" w:color="auto"/>
        <w:left w:val="none" w:sz="0" w:space="0" w:color="auto"/>
        <w:bottom w:val="none" w:sz="0" w:space="0" w:color="auto"/>
        <w:right w:val="none" w:sz="0" w:space="0" w:color="auto"/>
      </w:divBdr>
    </w:div>
    <w:div w:id="1226451221">
      <w:bodyDiv w:val="1"/>
      <w:marLeft w:val="0"/>
      <w:marRight w:val="0"/>
      <w:marTop w:val="0"/>
      <w:marBottom w:val="0"/>
      <w:divBdr>
        <w:top w:val="none" w:sz="0" w:space="0" w:color="auto"/>
        <w:left w:val="none" w:sz="0" w:space="0" w:color="auto"/>
        <w:bottom w:val="none" w:sz="0" w:space="0" w:color="auto"/>
        <w:right w:val="none" w:sz="0" w:space="0" w:color="auto"/>
      </w:divBdr>
    </w:div>
    <w:div w:id="1235362598">
      <w:bodyDiv w:val="1"/>
      <w:marLeft w:val="0"/>
      <w:marRight w:val="0"/>
      <w:marTop w:val="0"/>
      <w:marBottom w:val="0"/>
      <w:divBdr>
        <w:top w:val="none" w:sz="0" w:space="0" w:color="auto"/>
        <w:left w:val="none" w:sz="0" w:space="0" w:color="auto"/>
        <w:bottom w:val="none" w:sz="0" w:space="0" w:color="auto"/>
        <w:right w:val="none" w:sz="0" w:space="0" w:color="auto"/>
      </w:divBdr>
    </w:div>
    <w:div w:id="1236165173">
      <w:bodyDiv w:val="1"/>
      <w:marLeft w:val="0"/>
      <w:marRight w:val="0"/>
      <w:marTop w:val="0"/>
      <w:marBottom w:val="0"/>
      <w:divBdr>
        <w:top w:val="none" w:sz="0" w:space="0" w:color="auto"/>
        <w:left w:val="none" w:sz="0" w:space="0" w:color="auto"/>
        <w:bottom w:val="none" w:sz="0" w:space="0" w:color="auto"/>
        <w:right w:val="none" w:sz="0" w:space="0" w:color="auto"/>
      </w:divBdr>
    </w:div>
    <w:div w:id="1289361455">
      <w:bodyDiv w:val="1"/>
      <w:marLeft w:val="0"/>
      <w:marRight w:val="0"/>
      <w:marTop w:val="0"/>
      <w:marBottom w:val="0"/>
      <w:divBdr>
        <w:top w:val="none" w:sz="0" w:space="0" w:color="auto"/>
        <w:left w:val="none" w:sz="0" w:space="0" w:color="auto"/>
        <w:bottom w:val="none" w:sz="0" w:space="0" w:color="auto"/>
        <w:right w:val="none" w:sz="0" w:space="0" w:color="auto"/>
      </w:divBdr>
    </w:div>
    <w:div w:id="1339311292">
      <w:bodyDiv w:val="1"/>
      <w:marLeft w:val="0"/>
      <w:marRight w:val="0"/>
      <w:marTop w:val="0"/>
      <w:marBottom w:val="0"/>
      <w:divBdr>
        <w:top w:val="none" w:sz="0" w:space="0" w:color="auto"/>
        <w:left w:val="none" w:sz="0" w:space="0" w:color="auto"/>
        <w:bottom w:val="none" w:sz="0" w:space="0" w:color="auto"/>
        <w:right w:val="none" w:sz="0" w:space="0" w:color="auto"/>
      </w:divBdr>
    </w:div>
    <w:div w:id="1361277919">
      <w:bodyDiv w:val="1"/>
      <w:marLeft w:val="0"/>
      <w:marRight w:val="0"/>
      <w:marTop w:val="0"/>
      <w:marBottom w:val="0"/>
      <w:divBdr>
        <w:top w:val="none" w:sz="0" w:space="0" w:color="auto"/>
        <w:left w:val="none" w:sz="0" w:space="0" w:color="auto"/>
        <w:bottom w:val="none" w:sz="0" w:space="0" w:color="auto"/>
        <w:right w:val="none" w:sz="0" w:space="0" w:color="auto"/>
      </w:divBdr>
    </w:div>
    <w:div w:id="1463503948">
      <w:bodyDiv w:val="1"/>
      <w:marLeft w:val="0"/>
      <w:marRight w:val="0"/>
      <w:marTop w:val="0"/>
      <w:marBottom w:val="0"/>
      <w:divBdr>
        <w:top w:val="none" w:sz="0" w:space="0" w:color="auto"/>
        <w:left w:val="none" w:sz="0" w:space="0" w:color="auto"/>
        <w:bottom w:val="none" w:sz="0" w:space="0" w:color="auto"/>
        <w:right w:val="none" w:sz="0" w:space="0" w:color="auto"/>
      </w:divBdr>
    </w:div>
    <w:div w:id="1540170423">
      <w:bodyDiv w:val="1"/>
      <w:marLeft w:val="0"/>
      <w:marRight w:val="0"/>
      <w:marTop w:val="0"/>
      <w:marBottom w:val="0"/>
      <w:divBdr>
        <w:top w:val="none" w:sz="0" w:space="0" w:color="auto"/>
        <w:left w:val="none" w:sz="0" w:space="0" w:color="auto"/>
        <w:bottom w:val="none" w:sz="0" w:space="0" w:color="auto"/>
        <w:right w:val="none" w:sz="0" w:space="0" w:color="auto"/>
      </w:divBdr>
    </w:div>
    <w:div w:id="1542204884">
      <w:bodyDiv w:val="1"/>
      <w:marLeft w:val="0"/>
      <w:marRight w:val="0"/>
      <w:marTop w:val="0"/>
      <w:marBottom w:val="0"/>
      <w:divBdr>
        <w:top w:val="none" w:sz="0" w:space="0" w:color="auto"/>
        <w:left w:val="none" w:sz="0" w:space="0" w:color="auto"/>
        <w:bottom w:val="none" w:sz="0" w:space="0" w:color="auto"/>
        <w:right w:val="none" w:sz="0" w:space="0" w:color="auto"/>
      </w:divBdr>
    </w:div>
    <w:div w:id="1666397287">
      <w:bodyDiv w:val="1"/>
      <w:marLeft w:val="0"/>
      <w:marRight w:val="0"/>
      <w:marTop w:val="0"/>
      <w:marBottom w:val="0"/>
      <w:divBdr>
        <w:top w:val="none" w:sz="0" w:space="0" w:color="auto"/>
        <w:left w:val="none" w:sz="0" w:space="0" w:color="auto"/>
        <w:bottom w:val="none" w:sz="0" w:space="0" w:color="auto"/>
        <w:right w:val="none" w:sz="0" w:space="0" w:color="auto"/>
      </w:divBdr>
    </w:div>
    <w:div w:id="1749769831">
      <w:bodyDiv w:val="1"/>
      <w:marLeft w:val="0"/>
      <w:marRight w:val="0"/>
      <w:marTop w:val="0"/>
      <w:marBottom w:val="0"/>
      <w:divBdr>
        <w:top w:val="none" w:sz="0" w:space="0" w:color="auto"/>
        <w:left w:val="none" w:sz="0" w:space="0" w:color="auto"/>
        <w:bottom w:val="none" w:sz="0" w:space="0" w:color="auto"/>
        <w:right w:val="none" w:sz="0" w:space="0" w:color="auto"/>
      </w:divBdr>
    </w:div>
    <w:div w:id="1766219356">
      <w:bodyDiv w:val="1"/>
      <w:marLeft w:val="0"/>
      <w:marRight w:val="0"/>
      <w:marTop w:val="0"/>
      <w:marBottom w:val="0"/>
      <w:divBdr>
        <w:top w:val="none" w:sz="0" w:space="0" w:color="auto"/>
        <w:left w:val="none" w:sz="0" w:space="0" w:color="auto"/>
        <w:bottom w:val="none" w:sz="0" w:space="0" w:color="auto"/>
        <w:right w:val="none" w:sz="0" w:space="0" w:color="auto"/>
      </w:divBdr>
    </w:div>
    <w:div w:id="1775398680">
      <w:bodyDiv w:val="1"/>
      <w:marLeft w:val="0"/>
      <w:marRight w:val="0"/>
      <w:marTop w:val="0"/>
      <w:marBottom w:val="0"/>
      <w:divBdr>
        <w:top w:val="none" w:sz="0" w:space="0" w:color="auto"/>
        <w:left w:val="none" w:sz="0" w:space="0" w:color="auto"/>
        <w:bottom w:val="none" w:sz="0" w:space="0" w:color="auto"/>
        <w:right w:val="none" w:sz="0" w:space="0" w:color="auto"/>
      </w:divBdr>
    </w:div>
    <w:div w:id="1780298189">
      <w:bodyDiv w:val="1"/>
      <w:marLeft w:val="0"/>
      <w:marRight w:val="0"/>
      <w:marTop w:val="0"/>
      <w:marBottom w:val="0"/>
      <w:divBdr>
        <w:top w:val="none" w:sz="0" w:space="0" w:color="auto"/>
        <w:left w:val="none" w:sz="0" w:space="0" w:color="auto"/>
        <w:bottom w:val="none" w:sz="0" w:space="0" w:color="auto"/>
        <w:right w:val="none" w:sz="0" w:space="0" w:color="auto"/>
      </w:divBdr>
    </w:div>
    <w:div w:id="1794473411">
      <w:bodyDiv w:val="1"/>
      <w:marLeft w:val="0"/>
      <w:marRight w:val="0"/>
      <w:marTop w:val="0"/>
      <w:marBottom w:val="0"/>
      <w:divBdr>
        <w:top w:val="none" w:sz="0" w:space="0" w:color="auto"/>
        <w:left w:val="none" w:sz="0" w:space="0" w:color="auto"/>
        <w:bottom w:val="none" w:sz="0" w:space="0" w:color="auto"/>
        <w:right w:val="none" w:sz="0" w:space="0" w:color="auto"/>
      </w:divBdr>
    </w:div>
    <w:div w:id="1832597365">
      <w:bodyDiv w:val="1"/>
      <w:marLeft w:val="0"/>
      <w:marRight w:val="0"/>
      <w:marTop w:val="0"/>
      <w:marBottom w:val="0"/>
      <w:divBdr>
        <w:top w:val="none" w:sz="0" w:space="0" w:color="auto"/>
        <w:left w:val="none" w:sz="0" w:space="0" w:color="auto"/>
        <w:bottom w:val="none" w:sz="0" w:space="0" w:color="auto"/>
        <w:right w:val="none" w:sz="0" w:space="0" w:color="auto"/>
      </w:divBdr>
    </w:div>
    <w:div w:id="1957712910">
      <w:bodyDiv w:val="1"/>
      <w:marLeft w:val="0"/>
      <w:marRight w:val="0"/>
      <w:marTop w:val="0"/>
      <w:marBottom w:val="0"/>
      <w:divBdr>
        <w:top w:val="none" w:sz="0" w:space="0" w:color="auto"/>
        <w:left w:val="none" w:sz="0" w:space="0" w:color="auto"/>
        <w:bottom w:val="none" w:sz="0" w:space="0" w:color="auto"/>
        <w:right w:val="none" w:sz="0" w:space="0" w:color="auto"/>
      </w:divBdr>
    </w:div>
    <w:div w:id="1958171194">
      <w:bodyDiv w:val="1"/>
      <w:marLeft w:val="0"/>
      <w:marRight w:val="0"/>
      <w:marTop w:val="0"/>
      <w:marBottom w:val="0"/>
      <w:divBdr>
        <w:top w:val="none" w:sz="0" w:space="0" w:color="auto"/>
        <w:left w:val="none" w:sz="0" w:space="0" w:color="auto"/>
        <w:bottom w:val="none" w:sz="0" w:space="0" w:color="auto"/>
        <w:right w:val="none" w:sz="0" w:space="0" w:color="auto"/>
      </w:divBdr>
    </w:div>
    <w:div w:id="1980306628">
      <w:bodyDiv w:val="1"/>
      <w:marLeft w:val="0"/>
      <w:marRight w:val="0"/>
      <w:marTop w:val="0"/>
      <w:marBottom w:val="0"/>
      <w:divBdr>
        <w:top w:val="none" w:sz="0" w:space="0" w:color="auto"/>
        <w:left w:val="none" w:sz="0" w:space="0" w:color="auto"/>
        <w:bottom w:val="none" w:sz="0" w:space="0" w:color="auto"/>
        <w:right w:val="none" w:sz="0" w:space="0" w:color="auto"/>
      </w:divBdr>
    </w:div>
    <w:div w:id="2015109746">
      <w:bodyDiv w:val="1"/>
      <w:marLeft w:val="0"/>
      <w:marRight w:val="0"/>
      <w:marTop w:val="0"/>
      <w:marBottom w:val="0"/>
      <w:divBdr>
        <w:top w:val="none" w:sz="0" w:space="0" w:color="auto"/>
        <w:left w:val="none" w:sz="0" w:space="0" w:color="auto"/>
        <w:bottom w:val="none" w:sz="0" w:space="0" w:color="auto"/>
        <w:right w:val="none" w:sz="0" w:space="0" w:color="auto"/>
      </w:divBdr>
    </w:div>
    <w:div w:id="2024167909">
      <w:bodyDiv w:val="1"/>
      <w:marLeft w:val="0"/>
      <w:marRight w:val="0"/>
      <w:marTop w:val="0"/>
      <w:marBottom w:val="0"/>
      <w:divBdr>
        <w:top w:val="none" w:sz="0" w:space="0" w:color="auto"/>
        <w:left w:val="none" w:sz="0" w:space="0" w:color="auto"/>
        <w:bottom w:val="none" w:sz="0" w:space="0" w:color="auto"/>
        <w:right w:val="none" w:sz="0" w:space="0" w:color="auto"/>
      </w:divBdr>
    </w:div>
    <w:div w:id="2028435650">
      <w:bodyDiv w:val="1"/>
      <w:marLeft w:val="0"/>
      <w:marRight w:val="0"/>
      <w:marTop w:val="0"/>
      <w:marBottom w:val="0"/>
      <w:divBdr>
        <w:top w:val="none" w:sz="0" w:space="0" w:color="auto"/>
        <w:left w:val="none" w:sz="0" w:space="0" w:color="auto"/>
        <w:bottom w:val="none" w:sz="0" w:space="0" w:color="auto"/>
        <w:right w:val="none" w:sz="0" w:space="0" w:color="auto"/>
      </w:divBdr>
    </w:div>
    <w:div w:id="2064405438">
      <w:bodyDiv w:val="1"/>
      <w:marLeft w:val="0"/>
      <w:marRight w:val="0"/>
      <w:marTop w:val="0"/>
      <w:marBottom w:val="0"/>
      <w:divBdr>
        <w:top w:val="none" w:sz="0" w:space="0" w:color="auto"/>
        <w:left w:val="none" w:sz="0" w:space="0" w:color="auto"/>
        <w:bottom w:val="none" w:sz="0" w:space="0" w:color="auto"/>
        <w:right w:val="none" w:sz="0" w:space="0" w:color="auto"/>
      </w:divBdr>
    </w:div>
    <w:div w:id="2113895137">
      <w:bodyDiv w:val="1"/>
      <w:marLeft w:val="0"/>
      <w:marRight w:val="0"/>
      <w:marTop w:val="0"/>
      <w:marBottom w:val="0"/>
      <w:divBdr>
        <w:top w:val="none" w:sz="0" w:space="0" w:color="auto"/>
        <w:left w:val="none" w:sz="0" w:space="0" w:color="auto"/>
        <w:bottom w:val="none" w:sz="0" w:space="0" w:color="auto"/>
        <w:right w:val="none" w:sz="0" w:space="0" w:color="auto"/>
      </w:divBdr>
    </w:div>
    <w:div w:id="2115053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hedrack.mwiine@strathmore.edu" TargetMode="Externa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2.xm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ustomXml" Target="ink/ink1.xml"/><Relationship Id="rId14" Type="http://schemas.openxmlformats.org/officeDocument/2006/relationships/image" Target="media/image4.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11T08:11:03.276"/>
    </inkml:context>
    <inkml:brush xml:id="br0">
      <inkml:brushProperty name="width" value="0.1" units="cm"/>
      <inkml:brushProperty name="height" value="0.1" units="cm"/>
    </inkml:brush>
  </inkml:definitions>
  <inkml:trace contextRef="#ctx0" brushRef="#br0">55 3491 896,'-8'39'1673,"9"-54"-1613,0 1 0,-1-1 1,-2-21-1,1 14 14,-20-289 470,-4-120-320,45-374 30,-13 712-235,5-47 12,1 40 9,43-268 78,-4 28-88,-41 254-28,36-385 3,-38 365-13,-7 69-3,-2 25 7,0 0 1,1 0-1,0 0 0,6-19 1,-8 27-383,0 0 0,0-1 0,0 1-1,-3-7 1,-2-4-660,2-2-91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11T08:10:55.670"/>
    </inkml:context>
    <inkml:brush xml:id="br0">
      <inkml:brushProperty name="width" value="0.025" units="cm"/>
      <inkml:brushProperty name="height" value="0.025" units="cm"/>
    </inkml:brush>
    <inkml:brush xml:id="br1">
      <inkml:brushProperty name="width" value="0.1" units="cm"/>
      <inkml:brushProperty name="height" value="0.1" units="cm"/>
    </inkml:brush>
  </inkml:definitions>
  <inkml:trace contextRef="#ctx0" brushRef="#br0">25 5199 1905,'6'-7'339,"1"0"-1,11-10 1,-12 12-337,-1-1 0,1 1-1,-1-1 1,0 0 0,4-7 0,8-18 17,-2 0-1,-1-2 1,14-48-1,17-106 49,-31 100-52,4-121-1,-12 128-16,22-396-234,35-378-560,13 318 334,-31 250 296,29-173 87,21 87 114,-41 179 44,-17 55-6,43-179 207,-65 253-130,31-82 1,-44 140-123,0-1 1,-1-1-1,0 1 0,0 0 1,0-11-1,1-13 74,0 10 12,0-28 0,-2 46-64,-1 5 651,-1-6-344,-3-14-285,-4-10-103,-11-8-335,2 3-413,-1-9-736,10 20 397</inkml:trace>
  <inkml:trace contextRef="#ctx0" brushRef="#br1" timeOffset="735.83">0 2938 2369,'1'8'1072,"0"-7"-685,4-13-606,0-1 260,37-92-48,-4-2 1,36-166 0,-26 12-13,27-113-7,-61 329 26,22-51 0,-6 22 0,5-18 0,-12 36-3,29-113 0,-43 128-14,16-88-40,10-86-83,5-54 56,-25 124 26,-3 40-88,-2-115 0,-10 199 143,1 13 27,-1-1 0,0 1 1,0-1-1,-1 1 1,-1 0-1,1-1 1,-6-13-1,4 20 600,2 0-660,4 4 35,-4-2-36,1-1-1,0 1 1,-1 0-1,1-1 1,0 1-1,0-1 1,-1 1-1,1-1 1,0 1-1,0 0 1,0-1-1,0 1 1,-1-1-1,1 1 1,0-1-1,0 1 1,0-1-1,0 1 1,0-1-1,0 1 1,0-1-1,0 1 1,0-1-1,1 0 1,-1-6-395,0 5 292,2-10-1094,5 4 266</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The22</b:Tag>
    <b:SourceType>Report</b:SourceType>
    <b:Guid>{3AFD2BC2-46C9-4A10-ABBC-036765E28869}</b:Guid>
    <b:Author>
      <b:Author>
        <b:Corporate>The World Bank Group</b:Corporate>
      </b:Author>
    </b:Author>
    <b:Title>Digital Economy for Africa</b:Title>
    <b:Year>2022</b:Year>
    <b:City>Washington, DC</b:City>
    <b:RefOrder>3</b:RefOrder>
  </b:Source>
  <b:Source>
    <b:Tag>The19</b:Tag>
    <b:SourceType>Report</b:SourceType>
    <b:Guid>{6D51E013-845D-43D7-8682-CAA315ABD472}</b:Guid>
    <b:Author>
      <b:Author>
        <b:NameList>
          <b:Person>
            <b:Last>Kenya</b:Last>
            <b:First>Republic</b:First>
            <b:Middle>of</b:Middle>
          </b:Person>
        </b:NameList>
      </b:Author>
    </b:Author>
    <b:Title>Data Protection Act, No. 24 of 2019.</b:Title>
    <b:Year>2019</b:Year>
    <b:Publisher>Kenya Gazette Vol. CXXI—No. 156</b:Publisher>
    <b:City>Nairobi, Kenya</b:City>
    <b:RefOrder>1</b:RefOrder>
  </b:Source>
  <b:Source>
    <b:Tag>Afr14</b:Tag>
    <b:SourceType>Report</b:SourceType>
    <b:Guid>{DFC77DB0-EEC2-41A4-91EE-E1472EEB13EA}</b:Guid>
    <b:Author>
      <b:Author>
        <b:NameList>
          <b:Person>
            <b:Last>Union</b:Last>
            <b:First>African</b:First>
          </b:Person>
        </b:NameList>
      </b:Author>
    </b:Author>
    <b:Title>African Union Convention on Cyber Security and Personal Data Protection (Malabo Convention</b:Title>
    <b:Year>2014</b:Year>
    <b:Publisher>African Union</b:Publisher>
    <b:RefOrder>2</b:RefOrder>
  </b:Source>
  <b:Source>
    <b:Tag>Pri24</b:Tag>
    <b:SourceType>Report</b:SourceType>
    <b:Guid>{599F845E-D4A7-4F38-90BC-134A9BC6E3B5}</b:Guid>
    <b:Author>
      <b:Author>
        <b:Corporate>PricewaterhouseCoopers (PwC) Kenya</b:Corporate>
      </b:Author>
    </b:Author>
    <b:Title>East Africa Digital Trust Insights: Strengthening Cyber Defences</b:Title>
    <b:Year>2024</b:Year>
    <b:Publisher>PwC Kenya</b:Publisher>
    <b:City>Nairobi, Kenya</b:City>
    <b:RefOrder>4</b:RefOrder>
  </b:Source>
  <b:Source>
    <b:Tag>Bas17</b:Tag>
    <b:SourceType>Report</b:SourceType>
    <b:Guid>{70605CCE-0ADC-44FC-BA04-86D052D35180}</b:Guid>
    <b:Author>
      <b:Author>
        <b:NameList>
          <b:Person>
            <b:Last>Basiri</b:Last>
            <b:First>A.,</b:First>
            <b:Middle>Behnam,N., de Rooij,R.</b:Middle>
          </b:Person>
        </b:NameList>
      </b:Author>
    </b:Author>
    <b:Title>Chaos Engineering</b:Title>
    <b:Year>2017</b:Year>
    <b:Publisher>arXiv </b:Publisher>
    <b:RefOrder>5</b:RefOrder>
  </b:Source>
  <b:Source>
    <b:Tag>Atl24</b:Tag>
    <b:SourceType>JournalArticle</b:SourceType>
    <b:Guid>{906C5B3C-E65F-4480-8227-812E07BFB17F}</b:Guid>
    <b:Title>Common Incident Management Metrics; MTBF, MTTR, MTTA</b:Title>
    <b:Year>2024</b:Year>
    <b:Author>
      <b:Author>
        <b:NameList>
          <b:Person>
            <b:Last>Atlassian</b:Last>
          </b:Person>
        </b:NameList>
      </b:Author>
    </b:Author>
    <b:JournalName>Atlassian Corporation Pla</b:JournalName>
    <b:RefOrder>6</b:RefOrder>
  </b:Source>
  <b:Source>
    <b:Tag>Ram25</b:Tag>
    <b:SourceType>JournalArticle</b:SourceType>
    <b:Guid>{3E54ACBC-69ED-4AB7-A5E6-1792AC1E0296}</b:Guid>
    <b:Title>Resilience Engineering in Distributed Cloud Architectures</b:Title>
    <b:JournalName>International Journal of Engineering Architecture</b:JournalName>
    <b:Year>2025</b:Year>
    <b:Author>
      <b:Author>
        <b:NameList>
          <b:Person>
            <b:Last>Hariharan</b:Last>
            <b:First>Ramanan</b:First>
          </b:Person>
        </b:NameList>
      </b:Author>
    </b:Author>
    <b:RefOrder>7</b:RefOrder>
  </b:Source>
  <b:Source>
    <b:Tag>Bal24</b:Tag>
    <b:SourceType>JournalArticle</b:SourceType>
    <b:Guid>{4728440B-26D3-469D-B462-4C72C18C179E}</b:Guid>
    <b:Author>
      <b:Author>
        <b:NameList>
          <b:Person>
            <b:Last>Arugula</b:Last>
            <b:First>Balkishan</b:First>
          </b:Person>
        </b:NameList>
      </b:Author>
    </b:Author>
    <b:Title>Architecting for Resilience: Designing Fault Tolerant Systems in Multi-Cloud Environments</b:Title>
    <b:JournalName>International Journal of Emerging Trends in Computers</b:JournalName>
    <b:Year>2024</b:Year>
    <b:RefOrder>8</b:RefOrder>
  </b:Source>
  <b:Source>
    <b:Tag>Atl25</b:Tag>
    <b:SourceType>InternetSite</b:SourceType>
    <b:Guid>{15249026-B048-4EFC-BD3A-C43FCE565AC7}</b:Guid>
    <b:InternetSiteTitle>Atlassian</b:InternetSiteTitle>
    <b:Year>2025</b:Year>
    <b:URL>https://www.atlassian.com/incident-management/kpis/common-metrics</b:URL>
    <b:RefOrder>10</b:RefOrder>
  </b:Source>
  <b:Source>
    <b:Tag>Muh24</b:Tag>
    <b:SourceType>InternetSite</b:SourceType>
    <b:Guid>{3301EB8F-00ED-49E4-A422-410CF5F2903D}</b:Guid>
    <b:Year>2024</b:Year>
    <b:Author>
      <b:Author>
        <b:NameList>
          <b:Person>
            <b:Last>Raza</b:Last>
            <b:First>Muhammad</b:First>
          </b:Person>
        </b:NameList>
      </b:Author>
    </b:Author>
    <b:InternetSiteTitle>Splunk</b:InternetSiteTitle>
    <b:Month>December</b:Month>
    <b:Day>05</b:Day>
    <b:URL>https://www.splunk.com/en_us/blog/learn/mttr-mean-time-to-repair.html</b:URL>
    <b:RefOrder>9</b:RefOrder>
  </b:Source>
  <b:Source>
    <b:Tag>Pet24</b:Tag>
    <b:SourceType>InternetSite</b:SourceType>
    <b:Guid>{A49F2376-C732-4A2C-BD04-EDB90749879B}</b:Guid>
    <b:Author>
      <b:Author>
        <b:NameList>
          <b:Person>
            <b:Last>Sullivan</b:Last>
            <b:First>Peter</b:First>
          </b:Person>
        </b:NameList>
      </b:Author>
    </b:Author>
    <b:InternetSiteTitle>Tech Target</b:InternetSiteTitle>
    <b:Year>2024</b:Year>
    <b:Month>January</b:Month>
    <b:Day>05</b:Day>
    <b:URL>https://www.techtarget.com/whatis/definition/CERT-Computer-Emergency-Readiness-Team</b:URL>
    <b:RefOrder>11</b:RefOrder>
  </b:Source>
  <b:Source>
    <b:Tag>Afr13</b:Tag>
    <b:SourceType>Report</b:SourceType>
    <b:Guid>{6EC1CE75-5CF7-4603-B36B-AFB801AC2CC1}</b:Guid>
    <b:Author>
      <b:Author>
        <b:NameList>
          <b:Person>
            <b:Last>Africa</b:Last>
            <b:First>The</b:First>
            <b:Middle>Republic of South</b:Middle>
          </b:Person>
        </b:NameList>
      </b:Author>
    </b:Author>
    <b:Title>Protection of Personal Information Act, 2013</b:Title>
    <b:Year>2013</b:Year>
    <b:Publisher>National Council for Law Reporting</b:Publisher>
    <b:RefOrder>12</b:RefOrder>
  </b:Source>
  <b:Source>
    <b:Tag>The21</b:Tag>
    <b:SourceType>Report</b:SourceType>
    <b:Guid>{879CBD6B-1B54-4C34-80A9-B449B6C35EBD}</b:Guid>
    <b:Author>
      <b:Author>
        <b:NameList>
          <b:Person>
            <b:Last>Kenya</b:Last>
            <b:First>The</b:First>
            <b:Middle>Republic of</b:Middle>
          </b:Person>
        </b:NameList>
      </b:Author>
    </b:Author>
    <b:Title>The Data Protection (General) Regulations, 2021</b:Title>
    <b:Year>2021</b:Year>
    <b:Publisher>Government Printer</b:Publisher>
    <b:City>Nairobi</b:City>
    <b:RefOrder>13</b:RefOrder>
  </b:Source>
  <b:Source>
    <b:Tag>Ken25</b:Tag>
    <b:SourceType>InternetSite</b:SourceType>
    <b:Guid>{3639EFE8-7725-4B5A-9FCA-26DD5114ADB3}</b:Guid>
    <b:Year>2025</b:Year>
    <b:Author>
      <b:Author>
        <b:NameList>
          <b:Person>
            <b:Last>Kamanda</b:Last>
            <b:First>Kennedy</b:First>
          </b:Person>
        </b:NameList>
      </b:Author>
    </b:Author>
    <b:InternetSiteTitle>CIO Africa (Chief Information Officer Africa Ltd.)</b:InternetSiteTitle>
    <b:URL>https://cioafrica.co/fortifying-kenyas-data-protection-ecosystem/?utm_source=chatgpt.com</b:URL>
    <b:RefOrder>14</b:RefOrder>
  </b:Source>
  <b:Source>
    <b:Tag>Cos15</b:Tag>
    <b:SourceType>JournalArticle</b:SourceType>
    <b:Guid>{EE2CFC4D-8C3E-4FB1-880B-9120417B82A6}</b:Guid>
    <b:Title>Medusa: An efficient cloud fault-tolerant MapReduce</b:Title>
    <b:Year>2015</b:Year>
    <b:URL>https://arxiv.org/abs/1511.07185</b:URL>
    <b:Author>
      <b:Author>
        <b:NameList>
          <b:Person>
            <b:Last>Costa</b:Last>
            <b:First>P.</b:First>
            <b:Middle>A. R. S., Bai, X., Ramos, F. M. V., &amp; Correia, M.</b:Middle>
          </b:Person>
        </b:NameList>
      </b:Author>
    </b:Author>
    <b:JournalName>arXiv (preprint repository)</b:JournalName>
    <b:RefOrder>19</b:RefOrder>
  </b:Source>
  <b:Source>
    <b:Tag>Goo24</b:Tag>
    <b:SourceType>InternetSite</b:SourceType>
    <b:Guid>{472705F4-2CA4-43C7-9F14-BEEAFE6D86FE}</b:Guid>
    <b:Author>
      <b:Author>
        <b:NameList>
          <b:Person>
            <b:Last>Cloud</b:Last>
            <b:First>Google</b:First>
          </b:Person>
        </b:NameList>
      </b:Author>
    </b:Author>
    <b:Title>Well-Architected Framework: Reliability pillar</b:Title>
    <b:InternetSiteTitle>Google Cloud</b:InternetSiteTitle>
    <b:Year>2024</b:Year>
    <b:URL>https://cloud.google.com/architecture/framework/reliability</b:URL>
    <b:RefOrder>17</b:RefOrder>
  </b:Source>
  <b:Source>
    <b:Tag>IoT22</b:Tag>
    <b:SourceType>InternetSite</b:SourceType>
    <b:Guid>{FEC4DD91-1151-4866-854D-136E139329A1}</b:Guid>
    <b:Author>
      <b:Author>
        <b:NameList>
          <b:Person>
            <b:Last>Network</b:Last>
            <b:First>IoT</b:First>
            <b:Middle>Global</b:Middle>
          </b:Person>
        </b:NameList>
      </b:Author>
    </b:Author>
    <b:Title>The 8 design principles of a zero trust network</b:Title>
    <b:InternetSiteTitle>IoT Global Network</b:InternetSiteTitle>
    <b:Year>2022</b:Year>
    <b:URL>https://www.iotglobalnetwork.com/iotdir/2022/05/13/the-8-design-principles-of-a-zero-trust-network-37235/</b:URL>
    <b:RefOrder>15</b:RefOrder>
  </b:Source>
  <b:Source>
    <b:Tag>Pal24</b:Tag>
    <b:SourceType>InternetSite</b:SourceType>
    <b:Guid>{E3386A97-BB8A-461B-BD5C-648E2099BB92}</b:Guid>
    <b:Author>
      <b:Author>
        <b:NameList>
          <b:Person>
            <b:Last>Networks</b:Last>
            <b:First>Palo</b:First>
            <b:Middle>Alto</b:Middle>
          </b:Person>
        </b:NameList>
      </b:Author>
    </b:Author>
    <b:Title>What is Zero Trust Architecture (ZTA)</b:Title>
    <b:InternetSiteTitle>Palo Alto Networks</b:InternetSiteTitle>
    <b:Year>2024</b:Year>
    <b:URL>https://www.paloaltonetworks.com/cyberpedia/what-is-a-zero-trust-architecture</b:URL>
    <b:RefOrder>16</b:RefOrder>
  </b:Source>
  <b:Source>
    <b:Tag>Odu25</b:Tag>
    <b:SourceType>InternetSite</b:SourceType>
    <b:Guid>{02691479-011E-4129-AA16-73170FAD4322}</b:Guid>
    <b:Author>
      <b:Author>
        <b:NameList>
          <b:Person>
            <b:Last>Oduri</b:Last>
            <b:First>S.</b:First>
          </b:Person>
        </b:NameList>
      </b:Author>
    </b:Author>
    <b:Title>Engineering resilience: Cloud-native design patterns for fault-tolerant systems.</b:Title>
    <b:InternetSiteTitle>Communications on Applied Nonlinear Analysis</b:InternetSiteTitle>
    <b:Year>2025</b:Year>
    <b:URL>https://internationalpubls.com/index.php/cana/article/view/5958</b:URL>
    <b:RefOrder>18</b:RefOrder>
  </b:Source>
  <b:Source>
    <b:Tag>Gee25</b:Tag>
    <b:SourceType>InternetSite</b:SourceType>
    <b:Guid>{6F0733E5-3DBC-41DA-93C6-6EF1D765C284}</b:Guid>
    <b:Title>GeeksforGeeks</b:Title>
    <b:Year>2025</b:Year>
    <b:Author>
      <b:Author>
        <b:NameList>
          <b:Person>
            <b:Last>GeeksforGeeks</b:Last>
          </b:Person>
        </b:NameList>
      </b:Author>
    </b:Author>
    <b:InternetSiteTitle>Immutable Architecture Pattern - System Design</b:InternetSiteTitle>
    <b:URL>https://www.geeksforgeeks.org/system-design/immutable-architecture-pattern-system-design/</b:URL>
    <b:RefOrder>20</b:RefOrder>
  </b:Source>
  <b:Source>
    <b:Tag>Sca55</b:Tag>
    <b:SourceType>InternetSite</b:SourceType>
    <b:Guid>{CD07A46F-0A81-40C3-886C-9765BC27CB61}</b:Guid>
    <b:Author>
      <b:Author>
        <b:NameList>
          <b:Person>
            <b:Last>Scality</b:Last>
          </b:Person>
        </b:NameList>
      </b:Author>
    </b:Author>
    <b:Title>CORE5 | Resilience</b:Title>
    <b:InternetSiteTitle>Scality</b:InternetSiteTitle>
    <b:Year>2025</b:Year>
    <b:URL>https://www.scality.com/core5-resilience/</b:URL>
    <b:RefOrder>21</b:RefOrder>
  </b:Source>
  <b:Source>
    <b:Tag>IBM23</b:Tag>
    <b:SourceType>InternetSite</b:SourceType>
    <b:Guid>{8FC8D112-47AA-4F16-AB24-CE1C81F45DC4}</b:Guid>
    <b:Author>
      <b:Author>
        <b:NameList>
          <b:Person>
            <b:Last>IBM</b:Last>
          </b:Person>
        </b:NameList>
      </b:Author>
    </b:Author>
    <b:Title>What is Mean Time to Repair (MTTR)?</b:Title>
    <b:InternetSiteTitle>IBM</b:InternetSiteTitle>
    <b:Year>2023</b:Year>
    <b:URL>https://www.ibm.com/think/topics/mttr</b:URL>
    <b:RefOrder>22</b:RefOrder>
  </b:Source>
  <b:Source>
    <b:Tag>Res24</b:Tag>
    <b:SourceType>InternetSite</b:SourceType>
    <b:Guid>{3717E673-8AA8-48AA-A89E-C8BFB0B40766}</b:Guid>
    <b:Author>
      <b:Author>
        <b:NameList>
          <b:Person>
            <b:Last>Resolve.AI</b:Last>
          </b:Person>
        </b:NameList>
      </b:Author>
    </b:Author>
    <b:Title>What is MTTR?</b:Title>
    <b:InternetSiteTitle>Resolve.AI</b:InternetSiteTitle>
    <b:Year>2024</b:Year>
    <b:URL>https://resolve.ai/glossary/what-is-mttr</b:URL>
    <b:RefOrder>23</b:RefOrder>
  </b:Source>
  <b:Source>
    <b:Tag>Ora23</b:Tag>
    <b:SourceType>InternetSite</b:SourceType>
    <b:Guid>{A31821B3-42D0-4362-8FE3-A5B1E9B46954}</b:Guid>
    <b:Author>
      <b:Author>
        <b:NameList>
          <b:Person>
            <b:Last>(OCI)</b:Last>
            <b:First>Oracle</b:First>
            <b:Middle>Cloud Infrastructure</b:Middle>
          </b:Person>
        </b:NameList>
      </b:Author>
    </b:Author>
    <b:Title>Resiliency Oracle Cloud Infrastructure: Cloud Adoption Framework</b:Title>
    <b:InternetSiteTitle>Oracle Corporation</b:InternetSiteTitle>
    <b:Year>2023</b:Year>
    <b:URL>https://docs.oracle.com/en-us/iaas/Content/cloud-adoption-framework/era-resiliency.htm</b:URL>
    <b:RefOrder>24</b:RefOrder>
  </b:Source>
  <b:Source>
    <b:Tag>AlS24</b:Tag>
    <b:SourceType>InternetSite</b:SourceType>
    <b:Guid>{01F27DAB-682F-4646-BA34-39AAF2BD8409}</b:Guid>
    <b:Author>
      <b:Author>
        <b:NameList>
          <b:Person>
            <b:Last>Al-Said Ahmad</b:Last>
            <b:First>A.,</b:First>
            <b:Middle>Al-Qora’n, L. F., &amp; Zayed, A.</b:Middle>
          </b:Person>
        </b:NameList>
      </b:Author>
    </b:Author>
    <b:Title>Exploring the impact of chaos engineering with various user loads on cloud native applications: An exploratory empirical study.</b:Title>
    <b:InternetSiteTitle>Computing (Springer)</b:InternetSiteTitle>
    <b:Year>2024</b:Year>
    <b:URL>https://link.springer.com/article/10.1007/s00607-024-01292-z</b:URL>
    <b:RefOrder>25</b:RefOrder>
  </b:Source>
  <b:Source>
    <b:Tag>Kon21</b:Tag>
    <b:SourceType>InternetSite</b:SourceType>
    <b:Guid>{F9E99652-9857-4E8A-8F15-3EF4D7D69E20}</b:Guid>
    <b:Author>
      <b:Author>
        <b:NameList>
          <b:Person>
            <b:Last>Konstantinou</b:Last>
            <b:First>C.,</b:First>
            <b:Middle>Stergiopoulos, G., Parvania, M., &amp; Esteves-Veríssimo, P.</b:Middle>
          </b:Person>
        </b:NameList>
      </b:Author>
    </b:Author>
    <b:Title>Chaos Engineering for Enhanced Resilience of Cyber-Physical Systems.</b:Title>
    <b:InternetSiteTitle>arXiv (pre-print repository)</b:InternetSiteTitle>
    <b:Year>2021</b:Year>
    <b:URL>https://arxiv.org/abs/2106.14962</b:URL>
    <b:RefOrder>26</b:RefOrder>
  </b:Source>
  <b:Source>
    <b:Tag>Opa25</b:Tag>
    <b:SourceType>JournalArticle</b:SourceType>
    <b:Guid>{20B49859-89FD-4C4A-BA99-13C2D90CE388}</b:Guid>
    <b:Title>Chaos Engineering 2.0: A Review of AI-Driven, Policy-Guided Resilience for Multi-Cloud Systems.</b:Title>
    <b:Year>2025</b:Year>
    <b:URL>https://journals.stecab.com/jcsp/article/view/846</b:URL>
    <b:Author>
      <b:Author>
        <b:NameList>
          <b:Person>
            <b:Last>Opara</b:Last>
            <b:First>L.</b:First>
            <b:Middle>C.</b:Middle>
          </b:Person>
          <b:Person>
            <b:Last>Akatakpo</b:Last>
            <b:First>O.</b:First>
            <b:Middle>N.</b:Middle>
          </b:Person>
          <b:Person>
            <b:Last>Ironuru</b:Last>
            <b:First>I.</b:First>
            <b:Middle>C.</b:Middle>
          </b:Person>
          <b:Person>
            <b:Last>Anyaene</b:Last>
            <b:First>K.</b:First>
          </b:Person>
          <b:Person>
            <b:Last>Enobakhare</b:Last>
            <b:First>B.</b:First>
            <b:Middle>O.</b:Middle>
          </b:Person>
        </b:NameList>
      </b:Author>
    </b:Author>
    <b:JournalName>Journal of Computer, Software, and Program (Stecab Publishing)</b:JournalName>
    <b:RefOrder>27</b:RefOrder>
  </b:Source>
  <b:Source>
    <b:Tag>Eri23</b:Tag>
    <b:SourceType>JournalArticle</b:SourceType>
    <b:Guid>{D9055E8D-4A4A-4B11-9BA8-CF24922ACE11}</b:Guid>
    <b:Author>
      <b:Author>
        <b:NameList>
          <b:Person>
            <b:Last>Mhlongo</b:Last>
            <b:First>Eric</b:First>
            <b:Middle>T</b:Middle>
          </b:Person>
        </b:NameList>
      </b:Author>
    </b:Author>
    <b:Title>DEVELOPING RESILIENT IT SYSTEMS WITH CHAOS ENGINEERING AND AUTOMATED RECOVERY PROTOCOLS - Volume 6 | Issue 3</b:Title>
    <b:JournalName>International Journal of Innovative Technology &amp; Research Development (IJITRD)</b:JournalName>
    <b:Year>2023</b:Year>
    <b:RefOrder>28</b:RefOrder>
  </b:Source>
  <b:Source>
    <b:Tag>Pla21</b:Tag>
    <b:SourceType>InternetSite</b:SourceType>
    <b:Guid>{6FF75E6D-CC83-4A67-A261-BFA34A219CCC}</b:Guid>
    <b:Author>
      <b:Author>
        <b:NameList>
          <b:Person>
            <b:Last>Regulation</b:Last>
            <b:First>Digital</b:First>
          </b:Person>
        </b:NameList>
      </b:Author>
    </b:Author>
    <b:Title>Enhancing the protection and cyber-resilience of critical information infrastructure</b:Title>
    <b:JournalName>Digital Regulation Platform</b:JournalName>
    <b:Year>2021</b:Year>
    <b:Pages>https://digitalregulation.org/enhancing-the-protection-and-cyber-resilience-of-critical-information-infrastructure/</b:Pages>
    <b:InternetSiteTitle>Digital Regulation Platform</b:InternetSiteTitle>
    <b:RefOrder>29</b:RefOrder>
  </b:Source>
  <b:Source>
    <b:Tag>Org22</b:Tag>
    <b:SourceType>JournalArticle</b:SourceType>
    <b:Guid>{DC994E69-4E42-4BF8-93EB-CAE4211DF5CF}</b:Guid>
    <b:Title>Good governance for critical infrastructure resilience</b:Title>
    <b:Year>2022</b:Year>
    <b:URL>https://www.oecd.org/en/publications/good-governance-for-critical-infrastructure-resilience_02f0e5a0-en.html</b:URL>
    <b:Author>
      <b:Author>
        <b:NameList>
          <b:Person>
            <b:Last>Development</b:Last>
            <b:First>Organisation</b:First>
            <b:Middle>for Economic Co-operation and</b:Middle>
          </b:Person>
        </b:NameList>
      </b:Author>
    </b:Author>
    <b:JournalName>OECD Publishing</b:JournalName>
    <b:RefOrder>30</b:RefOrder>
  </b:Source>
  <b:Source>
    <b:Tag>Duš25</b:Tag>
    <b:SourceType>InternetSite</b:SourceType>
    <b:Guid>{39E12253-AA3F-4140-B003-41035015DE04}</b:Guid>
    <b:Title>World Economic Forum</b:Title>
    <b:Year>2025</b:Year>
    <b:Author>
      <b:Author>
        <b:NameList>
          <b:Person>
            <b:Last>Dušek</b:Last>
            <b:First>M.,</b:First>
            <b:Middle>&amp; Pacthod, D.</b:Middle>
          </b:Person>
        </b:NameList>
      </b:Author>
    </b:Author>
    <b:URL>https://www.weforum.org/stories/2025/01/public-private-collaboration-building-resilience/</b:URL>
    <b:RefOrder>31</b:RefOrder>
  </b:Source>
  <b:Source>
    <b:Tag>And22</b:Tag>
    <b:SourceType>JournalArticle</b:SourceType>
    <b:Guid>{AF09618C-98EC-463A-9B5C-CBEC8C006ACD}</b:Guid>
    <b:Author>
      <b:Author>
        <b:NameList>
          <b:Person>
            <b:Last>Andreoni</b:Last>
            <b:First>A.</b:First>
            <b:Middle>&amp; Roberts, S.</b:Middle>
          </b:Person>
        </b:NameList>
      </b:Author>
    </b:Author>
    <b:Title>Governing digital platform power for industrial development: Towards an entrepreneurial-regulatory state.</b:Title>
    <b:InternetSiteTitle>Cambridge Journal of Economics</b:InternetSiteTitle>
    <b:Year>2022</b:Year>
    <b:URL>https://academic.oup.com/cje/article/46/6/1431/6832143</b:URL>
    <b:JournalName>Cambridge Journal of Economics</b:JournalName>
    <b:RefOrder>32</b:RefOrder>
  </b:Source>
  <b:Source>
    <b:Tag>Int24</b:Tag>
    <b:SourceType>InternetSite</b:SourceType>
    <b:Guid>{6BFBD028-C205-44CE-8CDE-673AEF6A801C}</b:Guid>
    <b:Author>
      <b:Author>
        <b:NameList>
          <b:Person>
            <b:Last>Numbers</b:Last>
            <b:First>Internet</b:First>
            <b:Middle>Corporation for Assigned Names and</b:Middle>
          </b:Person>
        </b:NameList>
      </b:Author>
    </b:Author>
    <b:Title>ICANN and Smart Africa collaborate to boost Internet governance across Africa</b:Title>
    <b:InternetSiteTitle>Internet Corporation for Assigned Names and Numbers</b:InternetSiteTitle>
    <b:Year>2024</b:Year>
    <b:URL>https://www.icann.org/resources/press-material/release-2024-11-13-en</b:URL>
    <b:RefOrder>33</b:RefOrder>
  </b:Source>
  <b:Source>
    <b:Tag>Njo25</b:Tag>
    <b:SourceType>InternetSite</b:SourceType>
    <b:Guid>{D465603D-6209-478D-B3C9-39FAE4E2E896}</b:Guid>
    <b:Author>
      <b:Author>
        <b:NameList>
          <b:Person>
            <b:Last>Njoya</b:Last>
            <b:First>S.</b:First>
          </b:Person>
        </b:NameList>
      </b:Author>
    </b:Author>
    <b:Title>Smart Africa signs new pact with Kaspersky to secure Africa’s digital future.</b:Title>
    <b:InternetSiteTitle>We Are Tech Africa</b:InternetSiteTitle>
    <b:Year>2025</b:Year>
    <b:URL>https://www.wearetech.africa/en/fils-uk/news/tech/smart-africa-signs-new-pact-with-kapersky-to-secure-africas-digital-future</b:URL>
    <b:RefOrder>34</b:RefOrder>
  </b:Source>
  <b:Source>
    <b:Tag>Ros20</b:Tag>
    <b:SourceType>JournalArticle</b:SourceType>
    <b:Guid>{CCECDE68-A351-4FD8-B25A-B916506CF6DA}</b:Guid>
    <b:Title>Zero Trust Architecture (NIST Special Publication 800-207).</b:Title>
    <b:Year>2020</b:Year>
    <b:Author>
      <b:Author>
        <b:NameList>
          <b:Person>
            <b:Last>Rose</b:Last>
            <b:First>S.</b:First>
          </b:Person>
          <b:Person>
            <b:Last>Borchert</b:Last>
            <b:First>O.</b:First>
          </b:Person>
          <b:Person>
            <b:Last>Mitchell</b:Last>
            <b:First>S.</b:First>
          </b:Person>
          <b:Person>
            <b:Last>Connelly</b:Last>
            <b:First>S.</b:First>
          </b:Person>
        </b:NameList>
      </b:Author>
    </b:Author>
    <b:JournalName>National Institute of Standards and Technology, U.S. Department of Commerce.</b:JournalName>
    <b:RefOrder>35</b:RefOrder>
  </b:Source>
</b:Sources>
</file>

<file path=customXml/itemProps1.xml><?xml version="1.0" encoding="utf-8"?>
<ds:datastoreItem xmlns:ds="http://schemas.openxmlformats.org/officeDocument/2006/customXml" ds:itemID="{718B691F-E921-421E-9753-A57B0814A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9751</TotalTime>
  <Pages>39</Pages>
  <Words>13172</Words>
  <Characters>75082</Characters>
  <Application>Microsoft Office Word</Application>
  <DocSecurity>0</DocSecurity>
  <Lines>625</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Shedrack Mwiine</dc:creator>
  <cp:keywords/>
  <dc:description/>
  <cp:lastModifiedBy>Shedrack Mwiine</cp:lastModifiedBy>
  <cp:revision>375</cp:revision>
  <dcterms:created xsi:type="dcterms:W3CDTF">2025-11-03T08:54:00Z</dcterms:created>
  <dcterms:modified xsi:type="dcterms:W3CDTF">2025-11-12T11:25:00Z</dcterms:modified>
</cp:coreProperties>
</file>